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C2D" w:rsidRDefault="00476C2D" w:rsidP="00EA44FC">
      <w:pPr>
        <w:autoSpaceDE w:val="0"/>
        <w:autoSpaceDN w:val="0"/>
        <w:adjustRightInd w:val="0"/>
        <w:jc w:val="both"/>
        <w:rPr>
          <w:rFonts w:ascii="Arial" w:hAnsi="Arial" w:cs="Arial"/>
        </w:rPr>
      </w:pPr>
    </w:p>
    <w:p w:rsidR="00476C2D" w:rsidRDefault="00476C2D" w:rsidP="00EA44FC">
      <w:pPr>
        <w:autoSpaceDE w:val="0"/>
        <w:autoSpaceDN w:val="0"/>
        <w:adjustRightInd w:val="0"/>
        <w:jc w:val="both"/>
        <w:rPr>
          <w:rFonts w:ascii="Arial" w:hAnsi="Arial" w:cs="Arial"/>
        </w:rPr>
      </w:pPr>
    </w:p>
    <w:p w:rsidR="00476C2D" w:rsidRDefault="00476C2D" w:rsidP="00EA44FC">
      <w:pPr>
        <w:autoSpaceDE w:val="0"/>
        <w:autoSpaceDN w:val="0"/>
        <w:adjustRightInd w:val="0"/>
        <w:jc w:val="both"/>
        <w:rPr>
          <w:rFonts w:ascii="Arial" w:hAnsi="Arial" w:cs="Arial"/>
        </w:rPr>
      </w:pPr>
    </w:p>
    <w:p w:rsidR="00476C2D" w:rsidRDefault="00476C2D" w:rsidP="00EA44FC">
      <w:pPr>
        <w:autoSpaceDE w:val="0"/>
        <w:autoSpaceDN w:val="0"/>
        <w:adjustRightInd w:val="0"/>
        <w:jc w:val="both"/>
        <w:rPr>
          <w:rFonts w:ascii="Arial" w:hAnsi="Arial" w:cs="Arial"/>
        </w:rPr>
      </w:pPr>
    </w:p>
    <w:p w:rsidR="00476C2D" w:rsidRDefault="009715BA" w:rsidP="004E1308">
      <w:pPr>
        <w:autoSpaceDE w:val="0"/>
        <w:autoSpaceDN w:val="0"/>
        <w:adjustRightInd w:val="0"/>
        <w:jc w:val="right"/>
        <w:rPr>
          <w:rFonts w:ascii="Arial" w:hAnsi="Arial" w:cs="Arial"/>
        </w:rPr>
      </w:pPr>
      <w:r>
        <w:rPr>
          <w:rFonts w:ascii="Arial" w:hAnsi="Arial" w:cs="Arial"/>
          <w:noProof/>
          <w:color w:val="0000FF"/>
        </w:rPr>
        <w:drawing>
          <wp:inline distT="0" distB="0" distL="0" distR="0">
            <wp:extent cx="3695700" cy="1581150"/>
            <wp:effectExtent l="0" t="0" r="0" b="0"/>
            <wp:docPr id="1" name="Picture 1" descr="DOJ Logo - building a fair, just and safer community">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J Logo - building a fair, just and safer community">
                      <a:hlinkClick r:id=""/>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5700" cy="1581150"/>
                    </a:xfrm>
                    <a:prstGeom prst="rect">
                      <a:avLst/>
                    </a:prstGeom>
                    <a:noFill/>
                    <a:ln>
                      <a:noFill/>
                    </a:ln>
                  </pic:spPr>
                </pic:pic>
              </a:graphicData>
            </a:graphic>
          </wp:inline>
        </w:drawing>
      </w:r>
    </w:p>
    <w:p w:rsidR="00476C2D" w:rsidRDefault="00476C2D" w:rsidP="00EA44FC">
      <w:pPr>
        <w:autoSpaceDE w:val="0"/>
        <w:autoSpaceDN w:val="0"/>
        <w:adjustRightInd w:val="0"/>
        <w:jc w:val="both"/>
        <w:rPr>
          <w:rFonts w:ascii="Arial" w:hAnsi="Arial" w:cs="Arial"/>
        </w:rPr>
      </w:pPr>
    </w:p>
    <w:p w:rsidR="00476C2D" w:rsidRDefault="00476C2D" w:rsidP="00EA44FC">
      <w:pPr>
        <w:autoSpaceDE w:val="0"/>
        <w:autoSpaceDN w:val="0"/>
        <w:adjustRightInd w:val="0"/>
        <w:jc w:val="both"/>
        <w:rPr>
          <w:rFonts w:ascii="Arial" w:hAnsi="Arial" w:cs="Arial"/>
        </w:rPr>
      </w:pPr>
    </w:p>
    <w:p w:rsidR="00476C2D" w:rsidRDefault="00476C2D" w:rsidP="00EA44FC">
      <w:pPr>
        <w:autoSpaceDE w:val="0"/>
        <w:autoSpaceDN w:val="0"/>
        <w:adjustRightInd w:val="0"/>
        <w:jc w:val="both"/>
        <w:rPr>
          <w:rFonts w:ascii="Arial" w:hAnsi="Arial" w:cs="Arial"/>
        </w:rPr>
      </w:pPr>
    </w:p>
    <w:p w:rsidR="00476C2D" w:rsidRDefault="00476C2D" w:rsidP="00EA44FC">
      <w:pPr>
        <w:autoSpaceDE w:val="0"/>
        <w:autoSpaceDN w:val="0"/>
        <w:adjustRightInd w:val="0"/>
        <w:jc w:val="both"/>
        <w:rPr>
          <w:rFonts w:ascii="Arial" w:hAnsi="Arial" w:cs="Arial"/>
        </w:rPr>
      </w:pPr>
    </w:p>
    <w:p w:rsidR="00476C2D" w:rsidRDefault="00476C2D" w:rsidP="00EA44FC">
      <w:pPr>
        <w:autoSpaceDE w:val="0"/>
        <w:autoSpaceDN w:val="0"/>
        <w:adjustRightInd w:val="0"/>
        <w:jc w:val="both"/>
        <w:rPr>
          <w:rFonts w:ascii="Arial" w:hAnsi="Arial" w:cs="Arial"/>
        </w:rPr>
      </w:pPr>
    </w:p>
    <w:p w:rsidR="00476C2D" w:rsidRDefault="00476C2D" w:rsidP="00EA44FC">
      <w:pPr>
        <w:autoSpaceDE w:val="0"/>
        <w:autoSpaceDN w:val="0"/>
        <w:adjustRightInd w:val="0"/>
        <w:jc w:val="both"/>
        <w:rPr>
          <w:rFonts w:ascii="Arial" w:hAnsi="Arial" w:cs="Arial"/>
        </w:rPr>
      </w:pPr>
    </w:p>
    <w:p w:rsidR="00476C2D" w:rsidRDefault="00476C2D" w:rsidP="00EA44FC">
      <w:pPr>
        <w:autoSpaceDE w:val="0"/>
        <w:autoSpaceDN w:val="0"/>
        <w:adjustRightInd w:val="0"/>
        <w:jc w:val="both"/>
        <w:rPr>
          <w:rFonts w:ascii="Arial" w:hAnsi="Arial" w:cs="Arial"/>
        </w:rPr>
      </w:pPr>
    </w:p>
    <w:p w:rsidR="00476C2D" w:rsidRPr="006A15F8" w:rsidRDefault="00476C2D" w:rsidP="007339E5">
      <w:pPr>
        <w:autoSpaceDE w:val="0"/>
        <w:autoSpaceDN w:val="0"/>
        <w:adjustRightInd w:val="0"/>
        <w:jc w:val="right"/>
        <w:rPr>
          <w:rFonts w:ascii="Arial" w:hAnsi="Arial" w:cs="Arial"/>
          <w:sz w:val="36"/>
          <w:szCs w:val="36"/>
        </w:rPr>
      </w:pPr>
    </w:p>
    <w:p w:rsidR="00476C2D" w:rsidRPr="006A15F8" w:rsidRDefault="00476C2D" w:rsidP="007339E5">
      <w:pPr>
        <w:autoSpaceDE w:val="0"/>
        <w:autoSpaceDN w:val="0"/>
        <w:adjustRightInd w:val="0"/>
        <w:jc w:val="right"/>
        <w:rPr>
          <w:rFonts w:ascii="Arial" w:hAnsi="Arial" w:cs="Arial"/>
          <w:sz w:val="36"/>
          <w:szCs w:val="36"/>
        </w:rPr>
      </w:pPr>
    </w:p>
    <w:p w:rsidR="00476C2D" w:rsidRPr="006A15F8" w:rsidRDefault="00476C2D" w:rsidP="007339E5">
      <w:pPr>
        <w:autoSpaceDE w:val="0"/>
        <w:autoSpaceDN w:val="0"/>
        <w:adjustRightInd w:val="0"/>
        <w:jc w:val="right"/>
        <w:rPr>
          <w:rFonts w:ascii="Arial" w:hAnsi="Arial" w:cs="Arial"/>
          <w:sz w:val="36"/>
          <w:szCs w:val="36"/>
        </w:rPr>
      </w:pPr>
    </w:p>
    <w:p w:rsidR="00EE70DD" w:rsidRPr="00EE70DD" w:rsidRDefault="00EE70DD" w:rsidP="00EE70DD">
      <w:pPr>
        <w:autoSpaceDE w:val="0"/>
        <w:autoSpaceDN w:val="0"/>
        <w:adjustRightInd w:val="0"/>
        <w:jc w:val="right"/>
        <w:rPr>
          <w:rFonts w:ascii="Arial" w:hAnsi="Arial" w:cs="Arial"/>
          <w:b/>
          <w:color w:val="17365D"/>
          <w:sz w:val="36"/>
          <w:szCs w:val="36"/>
        </w:rPr>
      </w:pPr>
      <w:r w:rsidRPr="00EE70DD">
        <w:rPr>
          <w:rFonts w:ascii="Arial" w:hAnsi="Arial" w:cs="Arial"/>
          <w:b/>
          <w:color w:val="17365D"/>
          <w:sz w:val="36"/>
          <w:szCs w:val="36"/>
        </w:rPr>
        <w:t xml:space="preserve">Second </w:t>
      </w:r>
      <w:r w:rsidR="008B2BC3">
        <w:rPr>
          <w:rFonts w:ascii="Arial" w:hAnsi="Arial" w:cs="Arial"/>
          <w:b/>
          <w:color w:val="17365D"/>
          <w:sz w:val="36"/>
          <w:szCs w:val="36"/>
        </w:rPr>
        <w:t>statutory r</w:t>
      </w:r>
      <w:r w:rsidRPr="00EE70DD">
        <w:rPr>
          <w:rFonts w:ascii="Arial" w:hAnsi="Arial" w:cs="Arial"/>
          <w:b/>
          <w:color w:val="17365D"/>
          <w:sz w:val="36"/>
          <w:szCs w:val="36"/>
        </w:rPr>
        <w:t xml:space="preserve">eview of the 2009 Magistrates’ and County Court Appeal Rules </w:t>
      </w:r>
    </w:p>
    <w:p w:rsidR="00476C2D" w:rsidRPr="00B30BA0" w:rsidRDefault="00476C2D" w:rsidP="007339E5">
      <w:pPr>
        <w:autoSpaceDE w:val="0"/>
        <w:autoSpaceDN w:val="0"/>
        <w:adjustRightInd w:val="0"/>
        <w:jc w:val="right"/>
        <w:rPr>
          <w:rFonts w:ascii="Arial" w:hAnsi="Arial" w:cs="Arial"/>
          <w:color w:val="17365D"/>
          <w:sz w:val="36"/>
          <w:szCs w:val="36"/>
        </w:rPr>
      </w:pPr>
    </w:p>
    <w:p w:rsidR="00476C2D" w:rsidRDefault="00476C2D" w:rsidP="007339E5">
      <w:pPr>
        <w:autoSpaceDE w:val="0"/>
        <w:autoSpaceDN w:val="0"/>
        <w:adjustRightInd w:val="0"/>
        <w:jc w:val="right"/>
        <w:rPr>
          <w:rFonts w:ascii="Arial" w:hAnsi="Arial" w:cs="Arial"/>
          <w:color w:val="17365D"/>
          <w:sz w:val="36"/>
          <w:szCs w:val="36"/>
        </w:rPr>
      </w:pPr>
    </w:p>
    <w:p w:rsidR="007555B1" w:rsidRPr="00B30BA0" w:rsidRDefault="007555B1" w:rsidP="007339E5">
      <w:pPr>
        <w:autoSpaceDE w:val="0"/>
        <w:autoSpaceDN w:val="0"/>
        <w:adjustRightInd w:val="0"/>
        <w:jc w:val="right"/>
        <w:rPr>
          <w:rFonts w:ascii="Arial" w:hAnsi="Arial" w:cs="Arial"/>
          <w:color w:val="17365D"/>
          <w:sz w:val="36"/>
          <w:szCs w:val="36"/>
        </w:rPr>
      </w:pPr>
    </w:p>
    <w:p w:rsidR="00476C2D" w:rsidRPr="00B30BA0" w:rsidRDefault="00476C2D" w:rsidP="007339E5">
      <w:pPr>
        <w:autoSpaceDE w:val="0"/>
        <w:autoSpaceDN w:val="0"/>
        <w:adjustRightInd w:val="0"/>
        <w:jc w:val="right"/>
        <w:rPr>
          <w:rFonts w:ascii="Arial" w:hAnsi="Arial" w:cs="Arial"/>
          <w:color w:val="17365D"/>
          <w:sz w:val="36"/>
          <w:szCs w:val="36"/>
        </w:rPr>
      </w:pPr>
    </w:p>
    <w:p w:rsidR="00476C2D" w:rsidRPr="00B30BA0" w:rsidRDefault="00476C2D" w:rsidP="00EC1712">
      <w:pPr>
        <w:autoSpaceDE w:val="0"/>
        <w:autoSpaceDN w:val="0"/>
        <w:adjustRightInd w:val="0"/>
        <w:jc w:val="right"/>
        <w:rPr>
          <w:rFonts w:ascii="Arial" w:hAnsi="Arial" w:cs="Arial"/>
          <w:color w:val="17365D"/>
        </w:rPr>
      </w:pPr>
      <w:bookmarkStart w:id="0" w:name="_GoBack"/>
      <w:r w:rsidRPr="00B30BA0">
        <w:rPr>
          <w:rFonts w:ascii="Arial" w:hAnsi="Arial" w:cs="Arial"/>
          <w:b/>
          <w:color w:val="17365D"/>
          <w:sz w:val="36"/>
          <w:szCs w:val="36"/>
        </w:rPr>
        <w:t xml:space="preserve">Consultation </w:t>
      </w:r>
      <w:r w:rsidR="0034454A">
        <w:rPr>
          <w:rFonts w:ascii="Arial" w:hAnsi="Arial" w:cs="Arial"/>
          <w:b/>
          <w:color w:val="17365D"/>
          <w:sz w:val="36"/>
          <w:szCs w:val="36"/>
        </w:rPr>
        <w:t xml:space="preserve">on </w:t>
      </w:r>
      <w:r w:rsidR="00EE70DD">
        <w:rPr>
          <w:rFonts w:ascii="Arial" w:hAnsi="Arial" w:cs="Arial"/>
          <w:b/>
          <w:color w:val="17365D"/>
          <w:sz w:val="36"/>
          <w:szCs w:val="36"/>
        </w:rPr>
        <w:t>findings of the Review</w:t>
      </w:r>
    </w:p>
    <w:bookmarkEnd w:id="0"/>
    <w:p w:rsidR="00476C2D" w:rsidRPr="00B30BA0" w:rsidRDefault="00476C2D" w:rsidP="00EA44FC">
      <w:pPr>
        <w:autoSpaceDE w:val="0"/>
        <w:autoSpaceDN w:val="0"/>
        <w:adjustRightInd w:val="0"/>
        <w:jc w:val="both"/>
        <w:rPr>
          <w:rFonts w:ascii="Arial" w:hAnsi="Arial" w:cs="Arial"/>
          <w:color w:val="17365D"/>
        </w:rPr>
      </w:pPr>
    </w:p>
    <w:p w:rsidR="00476C2D" w:rsidRPr="00B30BA0" w:rsidRDefault="00476C2D" w:rsidP="00EA44FC">
      <w:pPr>
        <w:autoSpaceDE w:val="0"/>
        <w:autoSpaceDN w:val="0"/>
        <w:adjustRightInd w:val="0"/>
        <w:jc w:val="both"/>
        <w:rPr>
          <w:rFonts w:ascii="Arial" w:hAnsi="Arial" w:cs="Arial"/>
          <w:color w:val="17365D"/>
        </w:rPr>
      </w:pPr>
    </w:p>
    <w:p w:rsidR="00B614BE" w:rsidRDefault="00B614BE" w:rsidP="00B614BE">
      <w:pPr>
        <w:autoSpaceDE w:val="0"/>
        <w:autoSpaceDN w:val="0"/>
        <w:adjustRightInd w:val="0"/>
        <w:jc w:val="right"/>
        <w:rPr>
          <w:rFonts w:ascii="Arial" w:hAnsi="Arial" w:cs="Arial"/>
          <w:b/>
          <w:color w:val="17365D"/>
          <w:sz w:val="36"/>
          <w:szCs w:val="36"/>
        </w:rPr>
      </w:pPr>
    </w:p>
    <w:p w:rsidR="00B614BE" w:rsidRDefault="00B614BE" w:rsidP="00B614BE">
      <w:pPr>
        <w:autoSpaceDE w:val="0"/>
        <w:autoSpaceDN w:val="0"/>
        <w:adjustRightInd w:val="0"/>
        <w:rPr>
          <w:rFonts w:ascii="Arial" w:hAnsi="Arial" w:cs="Arial"/>
          <w:b/>
          <w:color w:val="17365D"/>
          <w:sz w:val="36"/>
          <w:szCs w:val="36"/>
        </w:rPr>
      </w:pPr>
    </w:p>
    <w:p w:rsidR="00B614BE" w:rsidRDefault="00B614BE" w:rsidP="00B614BE">
      <w:pPr>
        <w:autoSpaceDE w:val="0"/>
        <w:autoSpaceDN w:val="0"/>
        <w:adjustRightInd w:val="0"/>
        <w:rPr>
          <w:rFonts w:ascii="Arial" w:hAnsi="Arial" w:cs="Arial"/>
          <w:b/>
          <w:color w:val="17365D"/>
          <w:sz w:val="36"/>
          <w:szCs w:val="36"/>
        </w:rPr>
      </w:pPr>
    </w:p>
    <w:p w:rsidR="00B614BE" w:rsidRDefault="00B614BE" w:rsidP="00B614BE">
      <w:pPr>
        <w:autoSpaceDE w:val="0"/>
        <w:autoSpaceDN w:val="0"/>
        <w:adjustRightInd w:val="0"/>
        <w:rPr>
          <w:rFonts w:ascii="Arial" w:hAnsi="Arial" w:cs="Arial"/>
          <w:b/>
          <w:color w:val="17365D"/>
          <w:sz w:val="36"/>
          <w:szCs w:val="36"/>
        </w:rPr>
      </w:pPr>
    </w:p>
    <w:p w:rsidR="00B614BE" w:rsidRDefault="00B614BE" w:rsidP="00B614BE">
      <w:pPr>
        <w:autoSpaceDE w:val="0"/>
        <w:autoSpaceDN w:val="0"/>
        <w:adjustRightInd w:val="0"/>
        <w:rPr>
          <w:rFonts w:ascii="Arial" w:hAnsi="Arial" w:cs="Arial"/>
          <w:b/>
          <w:color w:val="17365D"/>
          <w:sz w:val="36"/>
          <w:szCs w:val="36"/>
        </w:rPr>
      </w:pPr>
    </w:p>
    <w:p w:rsidR="00C34D8B" w:rsidRPr="00B614BE" w:rsidRDefault="0083229A" w:rsidP="00B614BE">
      <w:pPr>
        <w:autoSpaceDE w:val="0"/>
        <w:autoSpaceDN w:val="0"/>
        <w:adjustRightInd w:val="0"/>
        <w:rPr>
          <w:rFonts w:ascii="Arial" w:hAnsi="Arial" w:cs="Arial"/>
          <w:b/>
          <w:color w:val="17365D"/>
          <w:sz w:val="36"/>
          <w:szCs w:val="36"/>
        </w:rPr>
      </w:pPr>
      <w:r>
        <w:rPr>
          <w:rFonts w:ascii="Arial" w:hAnsi="Arial" w:cs="Arial"/>
          <w:b/>
          <w:color w:val="17365D"/>
          <w:sz w:val="36"/>
          <w:szCs w:val="36"/>
        </w:rPr>
        <w:t>20</w:t>
      </w:r>
      <w:r w:rsidR="00526B9C">
        <w:rPr>
          <w:rFonts w:ascii="Arial" w:hAnsi="Arial" w:cs="Arial"/>
          <w:b/>
          <w:color w:val="17365D"/>
          <w:sz w:val="36"/>
          <w:szCs w:val="36"/>
        </w:rPr>
        <w:t xml:space="preserve"> </w:t>
      </w:r>
      <w:r w:rsidR="0073794B">
        <w:rPr>
          <w:rFonts w:ascii="Arial" w:hAnsi="Arial" w:cs="Arial"/>
          <w:b/>
          <w:color w:val="17365D"/>
          <w:sz w:val="36"/>
          <w:szCs w:val="36"/>
        </w:rPr>
        <w:t>November</w:t>
      </w:r>
      <w:r w:rsidR="0073794B" w:rsidRPr="00B614BE">
        <w:rPr>
          <w:rFonts w:ascii="Arial" w:hAnsi="Arial" w:cs="Arial"/>
          <w:b/>
          <w:color w:val="17365D"/>
          <w:sz w:val="36"/>
          <w:szCs w:val="36"/>
        </w:rPr>
        <w:t xml:space="preserve"> </w:t>
      </w:r>
      <w:r w:rsidR="00B614BE" w:rsidRPr="00B614BE">
        <w:rPr>
          <w:rFonts w:ascii="Arial" w:hAnsi="Arial" w:cs="Arial"/>
          <w:b/>
          <w:color w:val="17365D"/>
          <w:sz w:val="36"/>
          <w:szCs w:val="36"/>
        </w:rPr>
        <w:t>2017</w:t>
      </w:r>
      <w:r w:rsidR="00C34D8B" w:rsidRPr="00B614BE">
        <w:rPr>
          <w:rFonts w:ascii="Arial" w:hAnsi="Arial" w:cs="Arial"/>
          <w:b/>
          <w:color w:val="17365D"/>
          <w:sz w:val="36"/>
          <w:szCs w:val="36"/>
        </w:rPr>
        <w:t xml:space="preserve"> </w:t>
      </w:r>
    </w:p>
    <w:p w:rsidR="00065790" w:rsidRPr="00B30BA0" w:rsidRDefault="00065790" w:rsidP="00EA44FC">
      <w:pPr>
        <w:autoSpaceDE w:val="0"/>
        <w:autoSpaceDN w:val="0"/>
        <w:adjustRightInd w:val="0"/>
        <w:jc w:val="both"/>
        <w:rPr>
          <w:rFonts w:ascii="Arial" w:hAnsi="Arial" w:cs="Arial"/>
          <w:color w:val="1F497D"/>
        </w:rPr>
        <w:sectPr w:rsidR="00065790" w:rsidRPr="00B30BA0" w:rsidSect="00B856EC">
          <w:headerReference w:type="even" r:id="rId9"/>
          <w:headerReference w:type="default" r:id="rId10"/>
          <w:footerReference w:type="even" r:id="rId11"/>
          <w:footerReference w:type="default" r:id="rId12"/>
          <w:headerReference w:type="first" r:id="rId13"/>
          <w:pgSz w:w="11906" w:h="16838"/>
          <w:pgMar w:top="1440" w:right="1797" w:bottom="1440" w:left="1797" w:header="709" w:footer="709" w:gutter="0"/>
          <w:cols w:space="708"/>
          <w:docGrid w:linePitch="360"/>
        </w:sectPr>
      </w:pPr>
    </w:p>
    <w:p w:rsidR="00476C2D" w:rsidRPr="00476C2D" w:rsidRDefault="00476C2D" w:rsidP="00EA44FC">
      <w:pPr>
        <w:autoSpaceDE w:val="0"/>
        <w:autoSpaceDN w:val="0"/>
        <w:adjustRightInd w:val="0"/>
        <w:jc w:val="both"/>
        <w:rPr>
          <w:rFonts w:ascii="Arial" w:hAnsi="Arial" w:cs="Arial"/>
        </w:rPr>
      </w:pPr>
      <w:r w:rsidRPr="00C0786C">
        <w:rPr>
          <w:rFonts w:ascii="Arial" w:hAnsi="Arial" w:cs="Arial"/>
          <w:b/>
          <w:u w:val="single"/>
        </w:rPr>
        <w:lastRenderedPageBreak/>
        <w:t>Contents</w:t>
      </w:r>
      <w:r w:rsidRPr="00C0786C">
        <w:rPr>
          <w:rFonts w:ascii="Arial" w:hAnsi="Arial" w:cs="Arial"/>
        </w:rPr>
        <w:tab/>
      </w:r>
      <w:r w:rsidRPr="00C0786C">
        <w:rPr>
          <w:rFonts w:ascii="Arial" w:hAnsi="Arial" w:cs="Arial"/>
        </w:rPr>
        <w:tab/>
      </w:r>
      <w:r w:rsidRPr="00C0786C">
        <w:rPr>
          <w:rFonts w:ascii="Arial" w:hAnsi="Arial" w:cs="Arial"/>
        </w:rPr>
        <w:tab/>
      </w:r>
      <w:r w:rsidRPr="00C0786C">
        <w:rPr>
          <w:rFonts w:ascii="Arial" w:hAnsi="Arial" w:cs="Arial"/>
        </w:rPr>
        <w:tab/>
      </w:r>
      <w:r w:rsidRPr="00C0786C">
        <w:rPr>
          <w:rFonts w:ascii="Arial" w:hAnsi="Arial" w:cs="Arial"/>
        </w:rPr>
        <w:tab/>
      </w:r>
      <w:r w:rsidRPr="00C0786C">
        <w:rPr>
          <w:rFonts w:ascii="Arial" w:hAnsi="Arial" w:cs="Arial"/>
        </w:rPr>
        <w:tab/>
      </w:r>
      <w:r w:rsidRPr="00C0786C">
        <w:rPr>
          <w:rFonts w:ascii="Arial" w:hAnsi="Arial" w:cs="Arial"/>
        </w:rPr>
        <w:tab/>
      </w:r>
      <w:r w:rsidRPr="00C0786C">
        <w:rPr>
          <w:rFonts w:ascii="Arial" w:hAnsi="Arial" w:cs="Arial"/>
        </w:rPr>
        <w:tab/>
      </w:r>
      <w:r w:rsidRPr="00C0786C">
        <w:rPr>
          <w:rFonts w:ascii="Arial" w:hAnsi="Arial" w:cs="Arial"/>
        </w:rPr>
        <w:tab/>
      </w:r>
      <w:r w:rsidR="00A461D4" w:rsidRPr="00C0786C">
        <w:rPr>
          <w:rFonts w:ascii="Arial" w:hAnsi="Arial" w:cs="Arial"/>
        </w:rPr>
        <w:t xml:space="preserve">      </w:t>
      </w:r>
      <w:r w:rsidRPr="00E012AC">
        <w:rPr>
          <w:rFonts w:ascii="Arial" w:hAnsi="Arial" w:cs="Arial"/>
          <w:u w:val="single"/>
        </w:rPr>
        <w:t>Page</w:t>
      </w:r>
    </w:p>
    <w:p w:rsidR="00476C2D" w:rsidRDefault="00476C2D" w:rsidP="00EA44FC">
      <w:pPr>
        <w:autoSpaceDE w:val="0"/>
        <w:autoSpaceDN w:val="0"/>
        <w:adjustRightInd w:val="0"/>
        <w:jc w:val="both"/>
        <w:rPr>
          <w:rFonts w:ascii="Arial" w:hAnsi="Arial" w:cs="Arial"/>
        </w:rPr>
      </w:pPr>
    </w:p>
    <w:p w:rsidR="00476C2D" w:rsidRDefault="00476C2D" w:rsidP="00EA44FC">
      <w:pPr>
        <w:autoSpaceDE w:val="0"/>
        <w:autoSpaceDN w:val="0"/>
        <w:adjustRightInd w:val="0"/>
        <w:jc w:val="both"/>
        <w:rPr>
          <w:rFonts w:ascii="Arial" w:hAnsi="Arial" w:cs="Arial"/>
        </w:rPr>
      </w:pPr>
    </w:p>
    <w:p w:rsidR="00476C2D" w:rsidRDefault="00476C2D" w:rsidP="00EA44FC">
      <w:pPr>
        <w:autoSpaceDE w:val="0"/>
        <w:autoSpaceDN w:val="0"/>
        <w:adjustRightInd w:val="0"/>
        <w:jc w:val="both"/>
        <w:rPr>
          <w:rFonts w:ascii="Arial" w:hAnsi="Arial" w:cs="Arial"/>
        </w:rPr>
      </w:pPr>
    </w:p>
    <w:p w:rsidR="00476C2D" w:rsidRPr="00BC7CF4" w:rsidRDefault="00BC7CF4" w:rsidP="00A32A49">
      <w:pPr>
        <w:autoSpaceDE w:val="0"/>
        <w:autoSpaceDN w:val="0"/>
        <w:adjustRightInd w:val="0"/>
        <w:spacing w:line="360" w:lineRule="auto"/>
        <w:rPr>
          <w:rFonts w:ascii="Arial" w:hAnsi="Arial" w:cs="Arial"/>
          <w:b/>
        </w:rPr>
      </w:pPr>
      <w:r w:rsidRPr="00BC7CF4">
        <w:rPr>
          <w:rFonts w:ascii="Arial" w:hAnsi="Arial" w:cs="Arial"/>
          <w:b/>
        </w:rPr>
        <w:t>1.</w:t>
      </w:r>
      <w:r w:rsidRPr="00BC7CF4">
        <w:rPr>
          <w:rFonts w:ascii="Arial" w:hAnsi="Arial" w:cs="Arial"/>
          <w:b/>
        </w:rPr>
        <w:tab/>
      </w:r>
      <w:r w:rsidR="00695D1C" w:rsidRPr="00BC7CF4">
        <w:rPr>
          <w:rFonts w:ascii="Arial" w:hAnsi="Arial" w:cs="Arial"/>
          <w:b/>
        </w:rPr>
        <w:t>Introduction</w:t>
      </w:r>
      <w:r w:rsidR="006A15F8" w:rsidRPr="00BC7CF4">
        <w:rPr>
          <w:rFonts w:ascii="Arial" w:hAnsi="Arial" w:cs="Arial"/>
          <w:b/>
        </w:rPr>
        <w:tab/>
      </w:r>
      <w:r w:rsidRPr="00BC7CF4">
        <w:rPr>
          <w:rFonts w:ascii="Arial" w:hAnsi="Arial" w:cs="Arial"/>
          <w:b/>
        </w:rPr>
        <w:tab/>
      </w:r>
      <w:r w:rsidRPr="00BC7CF4">
        <w:rPr>
          <w:rFonts w:ascii="Arial" w:hAnsi="Arial" w:cs="Arial"/>
          <w:b/>
        </w:rPr>
        <w:tab/>
      </w:r>
      <w:r w:rsidRPr="00BC7CF4">
        <w:rPr>
          <w:rFonts w:ascii="Arial" w:hAnsi="Arial" w:cs="Arial"/>
          <w:b/>
        </w:rPr>
        <w:tab/>
      </w:r>
      <w:r w:rsidR="006A15F8" w:rsidRPr="00BC7CF4">
        <w:rPr>
          <w:rFonts w:ascii="Arial" w:hAnsi="Arial" w:cs="Arial"/>
          <w:b/>
        </w:rPr>
        <w:tab/>
      </w:r>
      <w:r w:rsidR="006A15F8" w:rsidRPr="00BC7CF4">
        <w:rPr>
          <w:rFonts w:ascii="Arial" w:hAnsi="Arial" w:cs="Arial"/>
          <w:b/>
        </w:rPr>
        <w:tab/>
      </w:r>
      <w:r w:rsidRPr="00BC7CF4">
        <w:rPr>
          <w:rFonts w:ascii="Arial" w:hAnsi="Arial" w:cs="Arial"/>
          <w:b/>
        </w:rPr>
        <w:tab/>
      </w:r>
      <w:r w:rsidRPr="00BC7CF4">
        <w:rPr>
          <w:rFonts w:ascii="Arial" w:hAnsi="Arial" w:cs="Arial"/>
          <w:b/>
        </w:rPr>
        <w:tab/>
      </w:r>
      <w:r w:rsidRPr="00BC7CF4">
        <w:rPr>
          <w:rFonts w:ascii="Arial" w:hAnsi="Arial" w:cs="Arial"/>
          <w:b/>
        </w:rPr>
        <w:tab/>
      </w:r>
      <w:r w:rsidR="007411A1">
        <w:rPr>
          <w:rFonts w:ascii="Arial" w:hAnsi="Arial" w:cs="Arial"/>
          <w:b/>
        </w:rPr>
        <w:t>3</w:t>
      </w:r>
    </w:p>
    <w:p w:rsidR="00BC7CF4" w:rsidRPr="00BC7CF4" w:rsidRDefault="00BE2D83" w:rsidP="00A32A49">
      <w:pPr>
        <w:autoSpaceDE w:val="0"/>
        <w:autoSpaceDN w:val="0"/>
        <w:adjustRightInd w:val="0"/>
        <w:spacing w:line="360" w:lineRule="auto"/>
        <w:jc w:val="both"/>
        <w:rPr>
          <w:rFonts w:ascii="Arial" w:hAnsi="Arial" w:cs="Arial"/>
          <w:b/>
        </w:rPr>
      </w:pPr>
      <w:r>
        <w:rPr>
          <w:rFonts w:ascii="Arial" w:hAnsi="Arial" w:cs="Arial"/>
          <w:b/>
        </w:rPr>
        <w:t>2</w:t>
      </w:r>
      <w:r w:rsidR="00BC7CF4" w:rsidRPr="00BC7CF4">
        <w:rPr>
          <w:rFonts w:ascii="Arial" w:hAnsi="Arial" w:cs="Arial"/>
          <w:b/>
        </w:rPr>
        <w:t>.</w:t>
      </w:r>
      <w:r w:rsidR="00BC7CF4" w:rsidRPr="00BC7CF4">
        <w:rPr>
          <w:rFonts w:ascii="Arial" w:hAnsi="Arial" w:cs="Arial"/>
          <w:b/>
        </w:rPr>
        <w:tab/>
        <w:t>Purpose of the Consultation</w:t>
      </w:r>
      <w:r w:rsidR="00BC7CF4" w:rsidRPr="00BC7CF4">
        <w:rPr>
          <w:rFonts w:ascii="Arial" w:hAnsi="Arial" w:cs="Arial"/>
          <w:b/>
        </w:rPr>
        <w:tab/>
      </w:r>
      <w:r w:rsidR="00BC7CF4" w:rsidRPr="00BC7CF4">
        <w:rPr>
          <w:rFonts w:ascii="Arial" w:hAnsi="Arial" w:cs="Arial"/>
          <w:b/>
        </w:rPr>
        <w:tab/>
      </w:r>
      <w:r w:rsidR="00BC7CF4" w:rsidRPr="00BC7CF4">
        <w:rPr>
          <w:rFonts w:ascii="Arial" w:hAnsi="Arial" w:cs="Arial"/>
          <w:b/>
        </w:rPr>
        <w:tab/>
      </w:r>
      <w:r w:rsidR="00BC7CF4" w:rsidRPr="00BC7CF4">
        <w:rPr>
          <w:rFonts w:ascii="Arial" w:hAnsi="Arial" w:cs="Arial"/>
          <w:b/>
        </w:rPr>
        <w:tab/>
      </w:r>
      <w:r w:rsidR="00BC7CF4" w:rsidRPr="00BC7CF4">
        <w:rPr>
          <w:rFonts w:ascii="Arial" w:hAnsi="Arial" w:cs="Arial"/>
          <w:b/>
        </w:rPr>
        <w:tab/>
      </w:r>
      <w:r w:rsidR="00BC7CF4" w:rsidRPr="00BC7CF4">
        <w:rPr>
          <w:rFonts w:ascii="Arial" w:hAnsi="Arial" w:cs="Arial"/>
          <w:b/>
        </w:rPr>
        <w:tab/>
      </w:r>
      <w:r w:rsidR="008829D7">
        <w:rPr>
          <w:rFonts w:ascii="Arial" w:hAnsi="Arial" w:cs="Arial"/>
          <w:b/>
        </w:rPr>
        <w:t>6</w:t>
      </w:r>
    </w:p>
    <w:p w:rsidR="00BC7CF4" w:rsidRPr="00BC7CF4" w:rsidRDefault="00BE2D83" w:rsidP="00A32A49">
      <w:pPr>
        <w:autoSpaceDE w:val="0"/>
        <w:autoSpaceDN w:val="0"/>
        <w:adjustRightInd w:val="0"/>
        <w:spacing w:line="360" w:lineRule="auto"/>
        <w:jc w:val="both"/>
        <w:rPr>
          <w:rFonts w:ascii="Arial" w:hAnsi="Arial" w:cs="Arial"/>
          <w:b/>
        </w:rPr>
      </w:pPr>
      <w:r>
        <w:rPr>
          <w:rFonts w:ascii="Arial" w:hAnsi="Arial" w:cs="Arial"/>
          <w:b/>
        </w:rPr>
        <w:t>3</w:t>
      </w:r>
      <w:r w:rsidR="00BC7CF4" w:rsidRPr="00BC7CF4">
        <w:rPr>
          <w:rFonts w:ascii="Arial" w:hAnsi="Arial" w:cs="Arial"/>
          <w:b/>
        </w:rPr>
        <w:t>.</w:t>
      </w:r>
      <w:r w:rsidR="00BC7CF4" w:rsidRPr="00BC7CF4">
        <w:rPr>
          <w:rFonts w:ascii="Arial" w:hAnsi="Arial" w:cs="Arial"/>
          <w:b/>
        </w:rPr>
        <w:tab/>
      </w:r>
      <w:r w:rsidR="00065790" w:rsidRPr="00BC7CF4">
        <w:rPr>
          <w:rFonts w:ascii="Arial" w:hAnsi="Arial" w:cs="Arial"/>
          <w:b/>
        </w:rPr>
        <w:t>Respon</w:t>
      </w:r>
      <w:r w:rsidR="00695D1C" w:rsidRPr="00BC7CF4">
        <w:rPr>
          <w:rFonts w:ascii="Arial" w:hAnsi="Arial" w:cs="Arial"/>
          <w:b/>
        </w:rPr>
        <w:t>ding</w:t>
      </w:r>
      <w:r w:rsidR="00065790" w:rsidRPr="00BC7CF4">
        <w:rPr>
          <w:rFonts w:ascii="Arial" w:hAnsi="Arial" w:cs="Arial"/>
          <w:b/>
        </w:rPr>
        <w:t xml:space="preserve"> to the Consultation </w:t>
      </w:r>
      <w:r w:rsidR="00065790" w:rsidRPr="00BC7CF4">
        <w:rPr>
          <w:rFonts w:ascii="Arial" w:hAnsi="Arial" w:cs="Arial"/>
          <w:b/>
        </w:rPr>
        <w:tab/>
      </w:r>
      <w:r w:rsidR="00065790" w:rsidRPr="00BC7CF4">
        <w:rPr>
          <w:rFonts w:ascii="Arial" w:hAnsi="Arial" w:cs="Arial"/>
          <w:b/>
        </w:rPr>
        <w:tab/>
      </w:r>
      <w:r w:rsidR="00065790" w:rsidRPr="00BC7CF4">
        <w:rPr>
          <w:rFonts w:ascii="Arial" w:hAnsi="Arial" w:cs="Arial"/>
          <w:b/>
        </w:rPr>
        <w:tab/>
      </w:r>
      <w:r w:rsidR="00A461D4" w:rsidRPr="00BC7CF4">
        <w:rPr>
          <w:rFonts w:ascii="Arial" w:hAnsi="Arial" w:cs="Arial"/>
          <w:b/>
        </w:rPr>
        <w:tab/>
      </w:r>
      <w:r w:rsidR="00054D79" w:rsidRPr="00BC7CF4">
        <w:rPr>
          <w:rFonts w:ascii="Arial" w:hAnsi="Arial" w:cs="Arial"/>
          <w:b/>
        </w:rPr>
        <w:tab/>
      </w:r>
      <w:r w:rsidR="008829D7">
        <w:rPr>
          <w:rFonts w:ascii="Arial" w:hAnsi="Arial" w:cs="Arial"/>
          <w:b/>
        </w:rPr>
        <w:t>7</w:t>
      </w:r>
    </w:p>
    <w:p w:rsidR="00476C2D" w:rsidRPr="00BC7CF4" w:rsidRDefault="00BE2D83" w:rsidP="00A32A49">
      <w:pPr>
        <w:autoSpaceDE w:val="0"/>
        <w:autoSpaceDN w:val="0"/>
        <w:adjustRightInd w:val="0"/>
        <w:spacing w:line="360" w:lineRule="auto"/>
        <w:jc w:val="both"/>
        <w:rPr>
          <w:rFonts w:ascii="Arial" w:hAnsi="Arial" w:cs="Arial"/>
          <w:b/>
        </w:rPr>
      </w:pPr>
      <w:r>
        <w:rPr>
          <w:rFonts w:ascii="Arial" w:hAnsi="Arial" w:cs="Arial"/>
          <w:b/>
        </w:rPr>
        <w:t>4</w:t>
      </w:r>
      <w:r w:rsidR="00BC7CF4" w:rsidRPr="00BC7CF4">
        <w:rPr>
          <w:rFonts w:ascii="Arial" w:hAnsi="Arial" w:cs="Arial"/>
          <w:b/>
        </w:rPr>
        <w:t>.</w:t>
      </w:r>
      <w:r w:rsidR="00054D79" w:rsidRPr="00BC7CF4">
        <w:rPr>
          <w:rFonts w:ascii="Arial" w:hAnsi="Arial" w:cs="Arial"/>
          <w:b/>
        </w:rPr>
        <w:tab/>
      </w:r>
      <w:r>
        <w:rPr>
          <w:rFonts w:ascii="Arial" w:hAnsi="Arial" w:cs="Arial"/>
          <w:b/>
        </w:rPr>
        <w:t>Summary of</w:t>
      </w:r>
      <w:r w:rsidR="00054D79" w:rsidRPr="00BC7CF4">
        <w:rPr>
          <w:rFonts w:ascii="Arial" w:hAnsi="Arial" w:cs="Arial"/>
          <w:b/>
        </w:rPr>
        <w:t xml:space="preserve"> </w:t>
      </w:r>
      <w:r w:rsidR="003F4E8C">
        <w:rPr>
          <w:rFonts w:ascii="Arial" w:hAnsi="Arial" w:cs="Arial"/>
          <w:b/>
        </w:rPr>
        <w:t xml:space="preserve">Findings &amp; </w:t>
      </w:r>
      <w:r w:rsidR="00730472" w:rsidRPr="00BC7CF4">
        <w:rPr>
          <w:rFonts w:ascii="Arial" w:hAnsi="Arial" w:cs="Arial"/>
          <w:b/>
        </w:rPr>
        <w:t>Proposals</w:t>
      </w:r>
      <w:r w:rsidR="00065790" w:rsidRPr="00BC7CF4">
        <w:rPr>
          <w:rFonts w:ascii="Arial" w:hAnsi="Arial" w:cs="Arial"/>
          <w:b/>
        </w:rPr>
        <w:tab/>
      </w:r>
      <w:r w:rsidR="00730472" w:rsidRPr="00BC7CF4">
        <w:rPr>
          <w:rFonts w:ascii="Arial" w:hAnsi="Arial" w:cs="Arial"/>
          <w:b/>
        </w:rPr>
        <w:tab/>
      </w:r>
      <w:r w:rsidR="00730472" w:rsidRPr="00BC7CF4">
        <w:rPr>
          <w:rFonts w:ascii="Arial" w:hAnsi="Arial" w:cs="Arial"/>
          <w:b/>
        </w:rPr>
        <w:tab/>
      </w:r>
      <w:r w:rsidR="00A461D4" w:rsidRPr="00BC7CF4">
        <w:rPr>
          <w:rFonts w:ascii="Arial" w:hAnsi="Arial" w:cs="Arial"/>
          <w:b/>
        </w:rPr>
        <w:tab/>
      </w:r>
      <w:r>
        <w:rPr>
          <w:rFonts w:ascii="Arial" w:hAnsi="Arial" w:cs="Arial"/>
          <w:b/>
        </w:rPr>
        <w:tab/>
      </w:r>
      <w:r w:rsidR="008829D7">
        <w:rPr>
          <w:rFonts w:ascii="Arial" w:hAnsi="Arial" w:cs="Arial"/>
          <w:b/>
        </w:rPr>
        <w:t>8</w:t>
      </w:r>
    </w:p>
    <w:p w:rsidR="008E3263" w:rsidRPr="00BC7CF4" w:rsidRDefault="00BE2D83" w:rsidP="00A32A49">
      <w:pPr>
        <w:spacing w:line="360" w:lineRule="auto"/>
        <w:ind w:left="720" w:hanging="720"/>
        <w:jc w:val="both"/>
        <w:rPr>
          <w:rFonts w:ascii="Arial" w:hAnsi="Arial" w:cs="Arial"/>
          <w:b/>
        </w:rPr>
      </w:pPr>
      <w:r>
        <w:rPr>
          <w:rFonts w:ascii="Arial" w:hAnsi="Arial" w:cs="Arial"/>
          <w:b/>
        </w:rPr>
        <w:t>5</w:t>
      </w:r>
      <w:r w:rsidR="00BC7CF4" w:rsidRPr="00BC7CF4">
        <w:rPr>
          <w:rFonts w:ascii="Arial" w:hAnsi="Arial" w:cs="Arial"/>
          <w:b/>
        </w:rPr>
        <w:t>.</w:t>
      </w:r>
      <w:r w:rsidR="00BC7CF4" w:rsidRPr="00BC7CF4">
        <w:rPr>
          <w:rFonts w:ascii="Arial" w:hAnsi="Arial" w:cs="Arial"/>
          <w:b/>
        </w:rPr>
        <w:tab/>
      </w:r>
      <w:r w:rsidR="008E3263" w:rsidRPr="00BC7CF4">
        <w:rPr>
          <w:rFonts w:ascii="Arial" w:hAnsi="Arial" w:cs="Arial"/>
          <w:b/>
        </w:rPr>
        <w:t>Impact Assessments</w:t>
      </w:r>
      <w:r w:rsidR="000133BD" w:rsidRPr="00BC7CF4">
        <w:rPr>
          <w:rFonts w:ascii="Arial" w:hAnsi="Arial" w:cs="Arial"/>
          <w:b/>
        </w:rPr>
        <w:tab/>
      </w:r>
      <w:r w:rsidR="000133BD" w:rsidRPr="00BC7CF4">
        <w:rPr>
          <w:rFonts w:ascii="Arial" w:hAnsi="Arial" w:cs="Arial"/>
          <w:b/>
        </w:rPr>
        <w:tab/>
      </w:r>
      <w:r w:rsidR="000133BD" w:rsidRPr="00BC7CF4">
        <w:rPr>
          <w:rFonts w:ascii="Arial" w:hAnsi="Arial" w:cs="Arial"/>
          <w:b/>
        </w:rPr>
        <w:tab/>
      </w:r>
      <w:r w:rsidR="000133BD" w:rsidRPr="00BC7CF4">
        <w:rPr>
          <w:rFonts w:ascii="Arial" w:hAnsi="Arial" w:cs="Arial"/>
          <w:b/>
        </w:rPr>
        <w:tab/>
      </w:r>
      <w:r w:rsidR="000133BD" w:rsidRPr="00BC7CF4">
        <w:rPr>
          <w:rFonts w:ascii="Arial" w:hAnsi="Arial" w:cs="Arial"/>
          <w:b/>
        </w:rPr>
        <w:tab/>
      </w:r>
      <w:r w:rsidR="000133BD" w:rsidRPr="00BC7CF4">
        <w:rPr>
          <w:rFonts w:ascii="Arial" w:hAnsi="Arial" w:cs="Arial"/>
          <w:b/>
        </w:rPr>
        <w:tab/>
      </w:r>
      <w:r w:rsidR="000133BD" w:rsidRPr="00BC7CF4">
        <w:rPr>
          <w:rFonts w:ascii="Arial" w:hAnsi="Arial" w:cs="Arial"/>
          <w:b/>
        </w:rPr>
        <w:tab/>
      </w:r>
      <w:r w:rsidR="00CE6963">
        <w:rPr>
          <w:rFonts w:ascii="Arial" w:hAnsi="Arial" w:cs="Arial"/>
          <w:b/>
        </w:rPr>
        <w:t>2</w:t>
      </w:r>
      <w:r w:rsidR="00857F83">
        <w:rPr>
          <w:rFonts w:ascii="Arial" w:hAnsi="Arial" w:cs="Arial"/>
          <w:b/>
        </w:rPr>
        <w:t>2</w:t>
      </w:r>
    </w:p>
    <w:p w:rsidR="00A41B41" w:rsidRPr="00BC7CF4" w:rsidRDefault="00BE2D83" w:rsidP="00A32A49">
      <w:pPr>
        <w:autoSpaceDE w:val="0"/>
        <w:autoSpaceDN w:val="0"/>
        <w:adjustRightInd w:val="0"/>
        <w:spacing w:line="360" w:lineRule="auto"/>
        <w:jc w:val="both"/>
        <w:rPr>
          <w:rFonts w:ascii="Arial" w:hAnsi="Arial" w:cs="Arial"/>
          <w:b/>
        </w:rPr>
      </w:pPr>
      <w:r>
        <w:rPr>
          <w:rFonts w:ascii="Arial" w:hAnsi="Arial" w:cs="Arial"/>
          <w:b/>
        </w:rPr>
        <w:t>6</w:t>
      </w:r>
      <w:r w:rsidR="00BC7CF4" w:rsidRPr="00BC7CF4">
        <w:rPr>
          <w:rFonts w:ascii="Arial" w:hAnsi="Arial" w:cs="Arial"/>
          <w:b/>
        </w:rPr>
        <w:t>.</w:t>
      </w:r>
      <w:r w:rsidR="00BC7CF4" w:rsidRPr="00BC7CF4">
        <w:rPr>
          <w:rFonts w:ascii="Arial" w:hAnsi="Arial" w:cs="Arial"/>
          <w:b/>
        </w:rPr>
        <w:tab/>
      </w:r>
      <w:r w:rsidR="00B30BA0" w:rsidRPr="00BC7CF4">
        <w:rPr>
          <w:rFonts w:ascii="Arial" w:hAnsi="Arial" w:cs="Arial"/>
          <w:b/>
        </w:rPr>
        <w:t>Next steps</w:t>
      </w:r>
      <w:r w:rsidR="00D93AC3" w:rsidRPr="00BC7CF4">
        <w:rPr>
          <w:rFonts w:ascii="Arial" w:hAnsi="Arial" w:cs="Arial"/>
          <w:b/>
        </w:rPr>
        <w:tab/>
      </w:r>
      <w:r w:rsidR="00D93AC3" w:rsidRPr="00BC7CF4">
        <w:rPr>
          <w:rFonts w:ascii="Arial" w:hAnsi="Arial" w:cs="Arial"/>
          <w:b/>
        </w:rPr>
        <w:tab/>
      </w:r>
      <w:r w:rsidR="00D93AC3" w:rsidRPr="00BC7CF4">
        <w:rPr>
          <w:rFonts w:ascii="Arial" w:hAnsi="Arial" w:cs="Arial"/>
          <w:b/>
        </w:rPr>
        <w:tab/>
      </w:r>
      <w:r w:rsidR="00A41B41" w:rsidRPr="00BC7CF4">
        <w:rPr>
          <w:rFonts w:ascii="Arial" w:hAnsi="Arial" w:cs="Arial"/>
          <w:b/>
        </w:rPr>
        <w:tab/>
      </w:r>
      <w:r w:rsidR="00A41B41" w:rsidRPr="00BC7CF4">
        <w:rPr>
          <w:rFonts w:ascii="Arial" w:hAnsi="Arial" w:cs="Arial"/>
          <w:b/>
        </w:rPr>
        <w:tab/>
      </w:r>
      <w:r w:rsidR="00A41B41" w:rsidRPr="00BC7CF4">
        <w:rPr>
          <w:rFonts w:ascii="Arial" w:hAnsi="Arial" w:cs="Arial"/>
          <w:b/>
        </w:rPr>
        <w:tab/>
      </w:r>
      <w:r w:rsidR="00A461D4" w:rsidRPr="00BC7CF4">
        <w:rPr>
          <w:rFonts w:ascii="Arial" w:hAnsi="Arial" w:cs="Arial"/>
          <w:b/>
        </w:rPr>
        <w:tab/>
      </w:r>
      <w:r w:rsidR="00BC7CF4">
        <w:rPr>
          <w:rFonts w:ascii="Arial" w:hAnsi="Arial" w:cs="Arial"/>
          <w:b/>
        </w:rPr>
        <w:tab/>
      </w:r>
      <w:r w:rsidR="00B30BA0" w:rsidRPr="00BC7CF4">
        <w:rPr>
          <w:rFonts w:ascii="Arial" w:hAnsi="Arial" w:cs="Arial"/>
          <w:b/>
        </w:rPr>
        <w:tab/>
      </w:r>
      <w:r w:rsidR="00CE6963">
        <w:rPr>
          <w:rFonts w:ascii="Arial" w:hAnsi="Arial" w:cs="Arial"/>
          <w:b/>
        </w:rPr>
        <w:t>2</w:t>
      </w:r>
      <w:r w:rsidR="00857F83">
        <w:rPr>
          <w:rFonts w:ascii="Arial" w:hAnsi="Arial" w:cs="Arial"/>
          <w:b/>
        </w:rPr>
        <w:t>3</w:t>
      </w:r>
    </w:p>
    <w:p w:rsidR="00810F5E" w:rsidRDefault="00810F5E" w:rsidP="00065790">
      <w:pPr>
        <w:autoSpaceDE w:val="0"/>
        <w:autoSpaceDN w:val="0"/>
        <w:adjustRightInd w:val="0"/>
        <w:jc w:val="both"/>
        <w:rPr>
          <w:rFonts w:ascii="Arial" w:hAnsi="Arial" w:cs="Arial"/>
        </w:rPr>
      </w:pPr>
    </w:p>
    <w:p w:rsidR="00A461D4" w:rsidRDefault="00A461D4" w:rsidP="00EA44FC">
      <w:pPr>
        <w:autoSpaceDE w:val="0"/>
        <w:autoSpaceDN w:val="0"/>
        <w:adjustRightInd w:val="0"/>
        <w:jc w:val="both"/>
        <w:rPr>
          <w:rFonts w:ascii="Arial" w:hAnsi="Arial" w:cs="Arial"/>
        </w:rPr>
      </w:pPr>
    </w:p>
    <w:p w:rsidR="00A32A49" w:rsidRPr="00A32A49" w:rsidRDefault="00A32A49" w:rsidP="00A32A49">
      <w:pPr>
        <w:pStyle w:val="Default"/>
        <w:ind w:left="720" w:hanging="720"/>
        <w:rPr>
          <w:b/>
        </w:rPr>
      </w:pPr>
    </w:p>
    <w:p w:rsidR="00B465BF" w:rsidRPr="00111C8F" w:rsidRDefault="00FB61C4" w:rsidP="00F67B38">
      <w:pPr>
        <w:numPr>
          <w:ilvl w:val="0"/>
          <w:numId w:val="2"/>
        </w:numPr>
        <w:autoSpaceDE w:val="0"/>
        <w:autoSpaceDN w:val="0"/>
        <w:adjustRightInd w:val="0"/>
        <w:spacing w:after="240" w:line="360" w:lineRule="auto"/>
        <w:ind w:left="567" w:hanging="567"/>
        <w:jc w:val="both"/>
        <w:rPr>
          <w:rFonts w:ascii="Arial" w:hAnsi="Arial" w:cs="Arial"/>
          <w:b/>
        </w:rPr>
      </w:pPr>
      <w:r w:rsidRPr="008877F3">
        <w:rPr>
          <w:rFonts w:ascii="Arial" w:hAnsi="Arial" w:cs="Arial"/>
          <w:b/>
        </w:rPr>
        <w:br w:type="page"/>
      </w:r>
      <w:r w:rsidR="00111C8F" w:rsidRPr="00111C8F">
        <w:rPr>
          <w:rFonts w:ascii="Arial" w:hAnsi="Arial" w:cs="Arial"/>
          <w:b/>
        </w:rPr>
        <w:lastRenderedPageBreak/>
        <w:t>INTRODUCTION</w:t>
      </w:r>
    </w:p>
    <w:p w:rsidR="00EC62CB" w:rsidRDefault="00EC62CB" w:rsidP="00F67B38">
      <w:pPr>
        <w:numPr>
          <w:ilvl w:val="1"/>
          <w:numId w:val="2"/>
        </w:numPr>
        <w:autoSpaceDE w:val="0"/>
        <w:autoSpaceDN w:val="0"/>
        <w:adjustRightInd w:val="0"/>
        <w:spacing w:after="240" w:line="360" w:lineRule="auto"/>
        <w:ind w:left="567" w:hanging="567"/>
        <w:jc w:val="both"/>
        <w:rPr>
          <w:rFonts w:ascii="Arial" w:hAnsi="Arial" w:cs="Arial"/>
        </w:rPr>
      </w:pPr>
      <w:r w:rsidRPr="00EC62CB">
        <w:rPr>
          <w:rFonts w:ascii="Arial" w:hAnsi="Arial" w:cs="Arial"/>
        </w:rPr>
        <w:t>The Magistrates’ Courts and County Court Appeals (Criminal Legal Aid) (Costs) Rules (Northern Ireland) 2009 (“the 2009 Rules”)</w:t>
      </w:r>
      <w:r w:rsidR="00C75F66" w:rsidRPr="00C75F66">
        <w:rPr>
          <w:rStyle w:val="FootnoteReference"/>
          <w:rFonts w:ascii="Arial" w:hAnsi="Arial" w:cs="Arial"/>
          <w:b/>
        </w:rPr>
        <w:footnoteReference w:id="1"/>
      </w:r>
      <w:r w:rsidRPr="00EC62CB">
        <w:rPr>
          <w:rFonts w:ascii="Arial" w:hAnsi="Arial" w:cs="Arial"/>
        </w:rPr>
        <w:t xml:space="preserve"> prescribe the remuneration for solicitors and counsel representing defendants in publicly funded criminal cases in the magistrates’ courts and on appeal to the County Court.  </w:t>
      </w:r>
      <w:r>
        <w:rPr>
          <w:rFonts w:ascii="Arial" w:hAnsi="Arial" w:cs="Arial"/>
        </w:rPr>
        <w:t xml:space="preserve"> </w:t>
      </w:r>
    </w:p>
    <w:p w:rsidR="002201A5" w:rsidRPr="002201A5" w:rsidRDefault="002201A5" w:rsidP="00F67B38">
      <w:pPr>
        <w:autoSpaceDE w:val="0"/>
        <w:autoSpaceDN w:val="0"/>
        <w:adjustRightInd w:val="0"/>
        <w:spacing w:after="240" w:line="360" w:lineRule="auto"/>
        <w:ind w:left="567"/>
        <w:jc w:val="both"/>
        <w:rPr>
          <w:rFonts w:ascii="Arial" w:hAnsi="Arial" w:cs="Arial"/>
          <w:i/>
        </w:rPr>
      </w:pPr>
      <w:r w:rsidRPr="002201A5">
        <w:rPr>
          <w:rFonts w:ascii="Arial" w:hAnsi="Arial" w:cs="Arial"/>
          <w:i/>
        </w:rPr>
        <w:t>Background</w:t>
      </w:r>
    </w:p>
    <w:p w:rsidR="00EC62CB" w:rsidRDefault="00EC62CB" w:rsidP="00F67B38">
      <w:pPr>
        <w:numPr>
          <w:ilvl w:val="1"/>
          <w:numId w:val="2"/>
        </w:numPr>
        <w:autoSpaceDE w:val="0"/>
        <w:autoSpaceDN w:val="0"/>
        <w:adjustRightInd w:val="0"/>
        <w:spacing w:after="240" w:line="360" w:lineRule="auto"/>
        <w:ind w:left="567" w:hanging="567"/>
        <w:jc w:val="both"/>
        <w:rPr>
          <w:rFonts w:ascii="Arial" w:hAnsi="Arial" w:cs="Arial"/>
        </w:rPr>
      </w:pPr>
      <w:r>
        <w:rPr>
          <w:rFonts w:ascii="Arial" w:hAnsi="Arial" w:cs="Arial"/>
        </w:rPr>
        <w:t xml:space="preserve">The 2009 Rules came into operation in September 2009, and introduced a new system of standard fees for publically funded defence representation in criminal proceedings in the magistrates’ court </w:t>
      </w:r>
      <w:r w:rsidR="00BB1859">
        <w:rPr>
          <w:rFonts w:ascii="Arial" w:hAnsi="Arial" w:cs="Arial"/>
        </w:rPr>
        <w:t xml:space="preserve">and in </w:t>
      </w:r>
      <w:r>
        <w:rPr>
          <w:rFonts w:ascii="Arial" w:hAnsi="Arial" w:cs="Arial"/>
        </w:rPr>
        <w:t xml:space="preserve">criminal appeals </w:t>
      </w:r>
      <w:r w:rsidR="00BB1859">
        <w:rPr>
          <w:rFonts w:ascii="Arial" w:hAnsi="Arial" w:cs="Arial"/>
        </w:rPr>
        <w:t xml:space="preserve">from the magistrates' court </w:t>
      </w:r>
      <w:r>
        <w:rPr>
          <w:rFonts w:ascii="Arial" w:hAnsi="Arial" w:cs="Arial"/>
        </w:rPr>
        <w:t>to the County Court.  The 2009 Rules replaced the previous system of time-based and composite fees provided by the Legal Aid in Criminal Proceedings (Costs) Rules (Northern Ireland) 1992 (“the 1992 Rules”).  The primary objective of the standard fee scheme within the 2009 Rules was to bring greater control and predictability to spending on these types of cases.</w:t>
      </w:r>
    </w:p>
    <w:p w:rsidR="008E03E7" w:rsidRDefault="008E03E7" w:rsidP="00F67B38">
      <w:pPr>
        <w:numPr>
          <w:ilvl w:val="1"/>
          <w:numId w:val="2"/>
        </w:numPr>
        <w:autoSpaceDE w:val="0"/>
        <w:autoSpaceDN w:val="0"/>
        <w:adjustRightInd w:val="0"/>
        <w:spacing w:after="240" w:line="360" w:lineRule="auto"/>
        <w:ind w:left="567" w:hanging="567"/>
        <w:jc w:val="both"/>
        <w:rPr>
          <w:rFonts w:ascii="Arial" w:hAnsi="Arial" w:cs="Arial"/>
        </w:rPr>
      </w:pPr>
      <w:r>
        <w:rPr>
          <w:rFonts w:ascii="Arial" w:hAnsi="Arial" w:cs="Arial"/>
        </w:rPr>
        <w:t>The standard fees payable in a magistrates’ court case under the 2009 Rules are determined by reference to two elements:</w:t>
      </w:r>
    </w:p>
    <w:p w:rsidR="008E03E7" w:rsidRDefault="008E03E7" w:rsidP="00F67B38">
      <w:pPr>
        <w:numPr>
          <w:ilvl w:val="2"/>
          <w:numId w:val="2"/>
        </w:numPr>
        <w:autoSpaceDE w:val="0"/>
        <w:autoSpaceDN w:val="0"/>
        <w:adjustRightInd w:val="0"/>
        <w:spacing w:after="240" w:line="360" w:lineRule="auto"/>
        <w:jc w:val="both"/>
        <w:rPr>
          <w:rFonts w:ascii="Arial" w:hAnsi="Arial" w:cs="Arial"/>
        </w:rPr>
      </w:pPr>
      <w:r>
        <w:rPr>
          <w:rFonts w:ascii="Arial" w:hAnsi="Arial" w:cs="Arial"/>
        </w:rPr>
        <w:t>the classification of the offence (Summary; Hybrid/Triable summarily; or Indictable only); and</w:t>
      </w:r>
    </w:p>
    <w:p w:rsidR="008E03E7" w:rsidRDefault="008E03E7" w:rsidP="00F67B38">
      <w:pPr>
        <w:numPr>
          <w:ilvl w:val="2"/>
          <w:numId w:val="2"/>
        </w:numPr>
        <w:autoSpaceDE w:val="0"/>
        <w:autoSpaceDN w:val="0"/>
        <w:adjustRightInd w:val="0"/>
        <w:spacing w:after="240" w:line="360" w:lineRule="auto"/>
        <w:jc w:val="both"/>
        <w:rPr>
          <w:rFonts w:ascii="Arial" w:hAnsi="Arial" w:cs="Arial"/>
        </w:rPr>
      </w:pPr>
      <w:r>
        <w:rPr>
          <w:rFonts w:ascii="Arial" w:hAnsi="Arial" w:cs="Arial"/>
        </w:rPr>
        <w:t xml:space="preserve">the manner in which the cases is disposed of (guilty plea; contest; withdrawn; or committal). </w:t>
      </w:r>
    </w:p>
    <w:p w:rsidR="008E03E7" w:rsidRDefault="008E03E7" w:rsidP="00F67B38">
      <w:pPr>
        <w:autoSpaceDE w:val="0"/>
        <w:autoSpaceDN w:val="0"/>
        <w:adjustRightInd w:val="0"/>
        <w:spacing w:after="240" w:line="360" w:lineRule="auto"/>
        <w:ind w:left="567"/>
        <w:jc w:val="both"/>
        <w:rPr>
          <w:rFonts w:ascii="Arial" w:hAnsi="Arial" w:cs="Arial"/>
        </w:rPr>
      </w:pPr>
      <w:r>
        <w:rPr>
          <w:rFonts w:ascii="Arial" w:hAnsi="Arial" w:cs="Arial"/>
        </w:rPr>
        <w:t>In certain circumstances, further additional fees are available for prescribed application</w:t>
      </w:r>
      <w:r w:rsidR="007129C1">
        <w:rPr>
          <w:rFonts w:ascii="Arial" w:hAnsi="Arial" w:cs="Arial"/>
        </w:rPr>
        <w:t>s</w:t>
      </w:r>
      <w:r>
        <w:rPr>
          <w:rFonts w:ascii="Arial" w:hAnsi="Arial" w:cs="Arial"/>
        </w:rPr>
        <w:t xml:space="preserve"> and representation at particular hearings.  In prescribed circumstances, solicitors and counsel can also avail of payments in respect of travelling expenses.</w:t>
      </w:r>
    </w:p>
    <w:p w:rsidR="008E03E7" w:rsidRDefault="00C871D7" w:rsidP="00F67B38">
      <w:pPr>
        <w:numPr>
          <w:ilvl w:val="1"/>
          <w:numId w:val="2"/>
        </w:numPr>
        <w:autoSpaceDE w:val="0"/>
        <w:autoSpaceDN w:val="0"/>
        <w:adjustRightInd w:val="0"/>
        <w:spacing w:after="240" w:line="360" w:lineRule="auto"/>
        <w:ind w:left="567" w:hanging="567"/>
        <w:jc w:val="both"/>
        <w:rPr>
          <w:rFonts w:ascii="Arial" w:hAnsi="Arial" w:cs="Arial"/>
        </w:rPr>
      </w:pPr>
      <w:r>
        <w:rPr>
          <w:rFonts w:ascii="Arial" w:hAnsi="Arial" w:cs="Arial"/>
        </w:rPr>
        <w:t xml:space="preserve">For publically funded </w:t>
      </w:r>
      <w:r w:rsidR="008E03E7">
        <w:rPr>
          <w:rFonts w:ascii="Arial" w:hAnsi="Arial" w:cs="Arial"/>
        </w:rPr>
        <w:t>County Court appeal</w:t>
      </w:r>
      <w:r>
        <w:rPr>
          <w:rFonts w:ascii="Arial" w:hAnsi="Arial" w:cs="Arial"/>
        </w:rPr>
        <w:t xml:space="preserve"> cases, the standard fees are based on the nature of the disposal of the appeal, with specific fees available for appeal against sentence, appeal against conviction, and withdrawn appeals.  An additional fee is also payable for legal representatives’ attendance at County Court appeals which exceed one day.</w:t>
      </w:r>
    </w:p>
    <w:p w:rsidR="00EC62CB" w:rsidRPr="00B64583" w:rsidRDefault="008E003C" w:rsidP="00F67B38">
      <w:pPr>
        <w:numPr>
          <w:ilvl w:val="1"/>
          <w:numId w:val="2"/>
        </w:numPr>
        <w:autoSpaceDE w:val="0"/>
        <w:autoSpaceDN w:val="0"/>
        <w:adjustRightInd w:val="0"/>
        <w:spacing w:after="240" w:line="360" w:lineRule="auto"/>
        <w:ind w:left="567" w:hanging="567"/>
        <w:jc w:val="both"/>
        <w:rPr>
          <w:rFonts w:ascii="Arial" w:hAnsi="Arial" w:cs="Arial"/>
        </w:rPr>
      </w:pPr>
      <w:r w:rsidRPr="00EC62CB">
        <w:rPr>
          <w:rFonts w:ascii="Arial" w:hAnsi="Arial" w:cs="Arial"/>
        </w:rPr>
        <w:t xml:space="preserve">Rule 16 of </w:t>
      </w:r>
      <w:r w:rsidR="00EC62CB" w:rsidRPr="00EC62CB">
        <w:rPr>
          <w:rFonts w:ascii="Arial" w:hAnsi="Arial" w:cs="Arial"/>
        </w:rPr>
        <w:t>the 2009 Rules</w:t>
      </w:r>
      <w:r w:rsidRPr="00EC62CB">
        <w:rPr>
          <w:rFonts w:ascii="Arial" w:hAnsi="Arial" w:cs="Arial"/>
        </w:rPr>
        <w:t xml:space="preserve"> requires the Department</w:t>
      </w:r>
      <w:r w:rsidR="00E2519D" w:rsidRPr="00EC62CB">
        <w:rPr>
          <w:rFonts w:ascii="Arial" w:hAnsi="Arial" w:cs="Arial"/>
        </w:rPr>
        <w:t xml:space="preserve"> of Justice (</w:t>
      </w:r>
      <w:r w:rsidR="00A37FC1">
        <w:rPr>
          <w:rFonts w:ascii="Arial" w:hAnsi="Arial" w:cs="Arial"/>
        </w:rPr>
        <w:t>DoJ</w:t>
      </w:r>
      <w:r w:rsidR="00E2519D" w:rsidRPr="00EC62CB">
        <w:rPr>
          <w:rFonts w:ascii="Arial" w:hAnsi="Arial" w:cs="Arial"/>
        </w:rPr>
        <w:t>)</w:t>
      </w:r>
      <w:r w:rsidRPr="00EC62CB">
        <w:rPr>
          <w:rFonts w:ascii="Arial" w:hAnsi="Arial" w:cs="Arial"/>
        </w:rPr>
        <w:t xml:space="preserve"> to keep the general operation of the </w:t>
      </w:r>
      <w:r w:rsidR="00EC62CB" w:rsidRPr="00EC62CB">
        <w:rPr>
          <w:rFonts w:ascii="Arial" w:hAnsi="Arial" w:cs="Arial"/>
        </w:rPr>
        <w:t>rules</w:t>
      </w:r>
      <w:r w:rsidRPr="00EC62CB">
        <w:rPr>
          <w:rFonts w:ascii="Arial" w:hAnsi="Arial" w:cs="Arial"/>
        </w:rPr>
        <w:t xml:space="preserve"> under review. </w:t>
      </w:r>
      <w:r w:rsidR="00EC62CB">
        <w:rPr>
          <w:rFonts w:ascii="Arial" w:hAnsi="Arial" w:cs="Arial"/>
        </w:rPr>
        <w:t xml:space="preserve"> The first statutory review of the 2009 Rules </w:t>
      </w:r>
      <w:r w:rsidR="00B64583">
        <w:rPr>
          <w:rFonts w:ascii="Arial" w:hAnsi="Arial" w:cs="Arial"/>
        </w:rPr>
        <w:t xml:space="preserve">began in July 2012 and culminated in the introduction of the </w:t>
      </w:r>
      <w:r w:rsidR="00B64583" w:rsidRPr="00B64583">
        <w:rPr>
          <w:rFonts w:ascii="Arial" w:hAnsi="Arial" w:cs="Arial"/>
          <w:bCs/>
          <w:lang w:val="en"/>
        </w:rPr>
        <w:t>Magistrates’ Courts and County Court Appeals (Criminal Legal Aid) (Costs) (Amendment) Rules (Northern Ireland) 2014 (“the 2014 Rules”)</w:t>
      </w:r>
      <w:r w:rsidR="00C75F66" w:rsidRPr="00C75F66">
        <w:rPr>
          <w:rStyle w:val="FootnoteReference"/>
          <w:rFonts w:ascii="Arial" w:hAnsi="Arial" w:cs="Arial"/>
          <w:b/>
          <w:bCs/>
          <w:lang w:val="en"/>
        </w:rPr>
        <w:footnoteReference w:id="2"/>
      </w:r>
      <w:r w:rsidR="00B64583" w:rsidRPr="00B64583">
        <w:rPr>
          <w:rFonts w:ascii="Arial" w:hAnsi="Arial" w:cs="Arial"/>
          <w:bCs/>
          <w:lang w:val="en"/>
        </w:rPr>
        <w:t>.</w:t>
      </w:r>
      <w:r w:rsidR="00B64583">
        <w:rPr>
          <w:rFonts w:ascii="Arial" w:hAnsi="Arial" w:cs="Arial"/>
          <w:bCs/>
          <w:lang w:val="en"/>
        </w:rPr>
        <w:t xml:space="preserve">  The 2014 Rules revoked provisions </w:t>
      </w:r>
      <w:r w:rsidR="00BB1859">
        <w:rPr>
          <w:rFonts w:ascii="Arial" w:hAnsi="Arial" w:cs="Arial"/>
          <w:bCs/>
          <w:lang w:val="en"/>
        </w:rPr>
        <w:t xml:space="preserve">in the 2009 Rules </w:t>
      </w:r>
      <w:r w:rsidR="00B64583">
        <w:rPr>
          <w:rFonts w:ascii="Arial" w:hAnsi="Arial" w:cs="Arial"/>
          <w:bCs/>
          <w:lang w:val="en"/>
        </w:rPr>
        <w:t>relating to Guilty Plea 2 fees and Very High Cost Cases, whilst also introducing a number of additional fees identified during the course of the statutory review.</w:t>
      </w:r>
      <w:r w:rsidR="00B64583">
        <w:rPr>
          <w:rFonts w:ascii="Arial" w:hAnsi="Arial" w:cs="Arial"/>
          <w:b/>
          <w:bCs/>
          <w:lang w:val="en"/>
        </w:rPr>
        <w:t xml:space="preserve">  </w:t>
      </w:r>
    </w:p>
    <w:p w:rsidR="00B64583" w:rsidRPr="002201A5" w:rsidRDefault="00B64583" w:rsidP="00F67B38">
      <w:pPr>
        <w:numPr>
          <w:ilvl w:val="1"/>
          <w:numId w:val="2"/>
        </w:numPr>
        <w:autoSpaceDE w:val="0"/>
        <w:autoSpaceDN w:val="0"/>
        <w:adjustRightInd w:val="0"/>
        <w:spacing w:after="240" w:line="360" w:lineRule="auto"/>
        <w:ind w:left="567" w:hanging="567"/>
        <w:jc w:val="both"/>
        <w:rPr>
          <w:rFonts w:ascii="Arial" w:hAnsi="Arial" w:cs="Arial"/>
        </w:rPr>
      </w:pPr>
      <w:r w:rsidRPr="00B64583">
        <w:rPr>
          <w:rFonts w:ascii="Arial" w:hAnsi="Arial" w:cs="Arial"/>
          <w:bCs/>
          <w:lang w:val="en"/>
        </w:rPr>
        <w:t>Since the first statutory review</w:t>
      </w:r>
      <w:r w:rsidR="006469CB">
        <w:rPr>
          <w:rFonts w:ascii="Arial" w:hAnsi="Arial" w:cs="Arial"/>
          <w:bCs/>
          <w:lang w:val="en"/>
        </w:rPr>
        <w:t xml:space="preserve">, </w:t>
      </w:r>
      <w:r w:rsidRPr="00B64583">
        <w:rPr>
          <w:rFonts w:ascii="Arial" w:hAnsi="Arial" w:cs="Arial"/>
          <w:bCs/>
          <w:lang w:val="en"/>
        </w:rPr>
        <w:t xml:space="preserve">the 2009 Rules have been subject to further amendment in order to make provision for remuneration in exceptional cases.  </w:t>
      </w:r>
      <w:r>
        <w:rPr>
          <w:rFonts w:ascii="Arial" w:hAnsi="Arial" w:cs="Arial"/>
          <w:bCs/>
          <w:lang w:val="en"/>
        </w:rPr>
        <w:t xml:space="preserve">These </w:t>
      </w:r>
      <w:r w:rsidR="002201A5">
        <w:rPr>
          <w:rFonts w:ascii="Arial" w:hAnsi="Arial" w:cs="Arial"/>
          <w:bCs/>
          <w:lang w:val="en"/>
        </w:rPr>
        <w:t>amendments</w:t>
      </w:r>
      <w:r>
        <w:rPr>
          <w:rFonts w:ascii="Arial" w:hAnsi="Arial" w:cs="Arial"/>
          <w:bCs/>
          <w:lang w:val="en"/>
        </w:rPr>
        <w:t xml:space="preserve"> were introduced through the </w:t>
      </w:r>
      <w:r w:rsidRPr="00B64583">
        <w:rPr>
          <w:rFonts w:ascii="Arial" w:hAnsi="Arial" w:cs="Arial"/>
          <w:bCs/>
          <w:lang w:val="en"/>
        </w:rPr>
        <w:t>Magistrates’ Courts and County Court Appeals (Criminal Legal Aid) (Costs) (Amendment) Rules (Northern Ireland) 2016 (“the 2016 Rules”)</w:t>
      </w:r>
      <w:r w:rsidR="00C75F66" w:rsidRPr="00C75F66">
        <w:rPr>
          <w:rStyle w:val="FootnoteReference"/>
          <w:rFonts w:ascii="Arial" w:hAnsi="Arial" w:cs="Arial"/>
          <w:b/>
          <w:bCs/>
          <w:lang w:val="en"/>
        </w:rPr>
        <w:footnoteReference w:id="3"/>
      </w:r>
      <w:r w:rsidRPr="00B64583">
        <w:rPr>
          <w:rFonts w:ascii="Arial" w:hAnsi="Arial" w:cs="Arial"/>
          <w:bCs/>
          <w:lang w:val="en"/>
        </w:rPr>
        <w:t>, and came into operation in December 2016.</w:t>
      </w:r>
      <w:r>
        <w:rPr>
          <w:rFonts w:ascii="Arial" w:hAnsi="Arial" w:cs="Arial"/>
          <w:b/>
          <w:bCs/>
          <w:lang w:val="en"/>
        </w:rPr>
        <w:t xml:space="preserve">  </w:t>
      </w:r>
      <w:r w:rsidR="002201A5" w:rsidRPr="002201A5">
        <w:rPr>
          <w:rFonts w:ascii="Arial" w:hAnsi="Arial" w:cs="Arial"/>
          <w:bCs/>
          <w:lang w:val="en"/>
        </w:rPr>
        <w:t>The 2016 Rules prescribe hourly rates of payment where an application for a Certificate of Exceptionality is granted in an individual case in order to undertake additional preparation work.</w:t>
      </w:r>
      <w:r w:rsidR="002201A5">
        <w:rPr>
          <w:rFonts w:ascii="Arial" w:hAnsi="Arial" w:cs="Arial"/>
          <w:b/>
          <w:bCs/>
          <w:lang w:val="en"/>
        </w:rPr>
        <w:t xml:space="preserve"> </w:t>
      </w:r>
    </w:p>
    <w:p w:rsidR="002201A5" w:rsidRPr="002201A5" w:rsidRDefault="002201A5" w:rsidP="00F67B38">
      <w:pPr>
        <w:autoSpaceDE w:val="0"/>
        <w:autoSpaceDN w:val="0"/>
        <w:adjustRightInd w:val="0"/>
        <w:spacing w:after="240" w:line="360" w:lineRule="auto"/>
        <w:ind w:left="567"/>
        <w:jc w:val="both"/>
        <w:rPr>
          <w:rFonts w:ascii="Arial" w:hAnsi="Arial" w:cs="Arial"/>
          <w:i/>
        </w:rPr>
      </w:pPr>
      <w:r w:rsidRPr="002201A5">
        <w:rPr>
          <w:rFonts w:ascii="Arial" w:hAnsi="Arial" w:cs="Arial"/>
          <w:bCs/>
          <w:i/>
          <w:lang w:val="en"/>
        </w:rPr>
        <w:t>Second Statutory Review</w:t>
      </w:r>
    </w:p>
    <w:p w:rsidR="008E003C" w:rsidRPr="00B64583" w:rsidRDefault="008E003C" w:rsidP="00F67B38">
      <w:pPr>
        <w:numPr>
          <w:ilvl w:val="1"/>
          <w:numId w:val="2"/>
        </w:numPr>
        <w:autoSpaceDE w:val="0"/>
        <w:autoSpaceDN w:val="0"/>
        <w:adjustRightInd w:val="0"/>
        <w:spacing w:after="240" w:line="360" w:lineRule="auto"/>
        <w:ind w:left="567" w:hanging="567"/>
        <w:jc w:val="both"/>
        <w:rPr>
          <w:rFonts w:ascii="Arial" w:hAnsi="Arial" w:cs="Arial"/>
        </w:rPr>
      </w:pPr>
      <w:r w:rsidRPr="00B64583">
        <w:rPr>
          <w:rFonts w:ascii="Arial" w:eastAsia="Calibri" w:hAnsi="Arial" w:cs="Arial"/>
          <w:lang w:eastAsia="en-US"/>
        </w:rPr>
        <w:t>In accordance with Rule 16, the objectives for the</w:t>
      </w:r>
      <w:r w:rsidR="00EC62CB" w:rsidRPr="00B64583">
        <w:rPr>
          <w:rFonts w:ascii="Arial" w:eastAsia="Calibri" w:hAnsi="Arial" w:cs="Arial"/>
          <w:lang w:eastAsia="en-US"/>
        </w:rPr>
        <w:t xml:space="preserve"> second</w:t>
      </w:r>
      <w:r w:rsidRPr="00B64583">
        <w:rPr>
          <w:rFonts w:ascii="Arial" w:eastAsia="Calibri" w:hAnsi="Arial" w:cs="Arial"/>
          <w:lang w:eastAsia="en-US"/>
        </w:rPr>
        <w:t xml:space="preserve"> review</w:t>
      </w:r>
      <w:r w:rsidR="00EC62CB" w:rsidRPr="00B64583">
        <w:rPr>
          <w:rFonts w:ascii="Arial" w:eastAsia="Calibri" w:hAnsi="Arial" w:cs="Arial"/>
          <w:lang w:eastAsia="en-US"/>
        </w:rPr>
        <w:t xml:space="preserve"> of the 2009 Rules</w:t>
      </w:r>
      <w:r w:rsidRPr="00B64583">
        <w:rPr>
          <w:rFonts w:ascii="Arial" w:eastAsia="Calibri" w:hAnsi="Arial" w:cs="Arial"/>
          <w:lang w:eastAsia="en-US"/>
        </w:rPr>
        <w:t xml:space="preserve"> are to consider:</w:t>
      </w:r>
    </w:p>
    <w:p w:rsidR="008E003C" w:rsidRPr="008E003C" w:rsidRDefault="008E003C" w:rsidP="00F67B38">
      <w:pPr>
        <w:numPr>
          <w:ilvl w:val="1"/>
          <w:numId w:val="5"/>
        </w:numPr>
        <w:spacing w:after="120" w:line="360" w:lineRule="auto"/>
        <w:ind w:left="851" w:hanging="284"/>
        <w:jc w:val="both"/>
        <w:rPr>
          <w:rFonts w:ascii="Arial" w:eastAsia="Calibri" w:hAnsi="Arial" w:cs="Arial"/>
          <w:lang w:eastAsia="en-US"/>
        </w:rPr>
      </w:pPr>
      <w:r w:rsidRPr="008E003C">
        <w:rPr>
          <w:rFonts w:ascii="Arial" w:eastAsia="Calibri" w:hAnsi="Arial" w:cs="Arial"/>
          <w:lang w:eastAsia="en-US"/>
        </w:rPr>
        <w:t>the levels of the prescribed fees and the rates of payment under the 2009 Rules (as amended); and</w:t>
      </w:r>
    </w:p>
    <w:p w:rsidR="008E003C" w:rsidRPr="008E003C" w:rsidRDefault="008E003C" w:rsidP="00F67B38">
      <w:pPr>
        <w:numPr>
          <w:ilvl w:val="1"/>
          <w:numId w:val="5"/>
        </w:numPr>
        <w:spacing w:after="200" w:line="360" w:lineRule="auto"/>
        <w:ind w:left="851" w:hanging="284"/>
        <w:jc w:val="both"/>
        <w:rPr>
          <w:rFonts w:ascii="Arial" w:eastAsia="Calibri" w:hAnsi="Arial" w:cs="Arial"/>
          <w:lang w:eastAsia="en-US"/>
        </w:rPr>
      </w:pPr>
      <w:r w:rsidRPr="008E003C">
        <w:rPr>
          <w:rFonts w:ascii="Arial" w:eastAsia="Calibri" w:hAnsi="Arial" w:cs="Arial"/>
          <w:lang w:eastAsia="en-US"/>
        </w:rPr>
        <w:t>whether or not these fees and rates of payment within the 2009 Rules are consistent with the requirements of Article 37 of the Legal Aid, Advice and Assistance (Northern Ireland) Order 1981 (“the 1981 Order” – see below).</w:t>
      </w:r>
    </w:p>
    <w:p w:rsidR="008E003C" w:rsidRPr="008E003C" w:rsidRDefault="008E003C" w:rsidP="00F67B38">
      <w:pPr>
        <w:numPr>
          <w:ilvl w:val="1"/>
          <w:numId w:val="2"/>
        </w:numPr>
        <w:spacing w:after="120" w:line="360" w:lineRule="auto"/>
        <w:ind w:left="567" w:hanging="567"/>
        <w:jc w:val="both"/>
        <w:rPr>
          <w:rFonts w:ascii="Arial" w:eastAsia="Calibri" w:hAnsi="Arial" w:cs="Arial"/>
          <w:lang w:eastAsia="en-US"/>
        </w:rPr>
      </w:pPr>
      <w:r w:rsidRPr="008E003C">
        <w:rPr>
          <w:rFonts w:ascii="Arial" w:eastAsia="Calibri" w:hAnsi="Arial" w:cs="Arial"/>
          <w:lang w:eastAsia="en-US"/>
        </w:rPr>
        <w:t xml:space="preserve">In addition, the </w:t>
      </w:r>
      <w:r w:rsidR="00A37FC1">
        <w:rPr>
          <w:rFonts w:ascii="Arial" w:eastAsia="Calibri" w:hAnsi="Arial" w:cs="Arial"/>
          <w:lang w:eastAsia="en-US"/>
        </w:rPr>
        <w:t>DoJ</w:t>
      </w:r>
      <w:r w:rsidRPr="008E003C">
        <w:rPr>
          <w:rFonts w:ascii="Arial" w:eastAsia="Calibri" w:hAnsi="Arial" w:cs="Arial"/>
          <w:lang w:eastAsia="en-US"/>
        </w:rPr>
        <w:t xml:space="preserve"> has identified two further non-statutory criteria for inclusion, which are to:</w:t>
      </w:r>
    </w:p>
    <w:p w:rsidR="008E003C" w:rsidRPr="008E003C" w:rsidRDefault="008E003C" w:rsidP="00F67B38">
      <w:pPr>
        <w:numPr>
          <w:ilvl w:val="1"/>
          <w:numId w:val="3"/>
        </w:numPr>
        <w:spacing w:after="120" w:line="360" w:lineRule="auto"/>
        <w:ind w:left="851" w:hanging="284"/>
        <w:jc w:val="both"/>
        <w:rPr>
          <w:rFonts w:ascii="Arial" w:eastAsia="Calibri" w:hAnsi="Arial" w:cs="Arial"/>
          <w:lang w:eastAsia="en-US"/>
        </w:rPr>
      </w:pPr>
      <w:r w:rsidRPr="008E003C">
        <w:rPr>
          <w:rFonts w:ascii="Arial" w:eastAsia="Calibri" w:hAnsi="Arial" w:cs="Arial"/>
          <w:lang w:eastAsia="en-US"/>
        </w:rPr>
        <w:t>identify any potential omissions in the 2009 Rules; and</w:t>
      </w:r>
    </w:p>
    <w:p w:rsidR="008E003C" w:rsidRPr="008E003C" w:rsidRDefault="008E003C" w:rsidP="00F67B38">
      <w:pPr>
        <w:numPr>
          <w:ilvl w:val="1"/>
          <w:numId w:val="3"/>
        </w:numPr>
        <w:spacing w:after="200" w:line="360" w:lineRule="auto"/>
        <w:ind w:left="851" w:hanging="284"/>
        <w:jc w:val="both"/>
        <w:rPr>
          <w:rFonts w:ascii="Arial" w:eastAsia="Calibri" w:hAnsi="Arial" w:cs="Arial"/>
          <w:lang w:eastAsia="en-US"/>
        </w:rPr>
      </w:pPr>
      <w:r w:rsidRPr="008E003C">
        <w:rPr>
          <w:rFonts w:ascii="Arial" w:eastAsia="Calibri" w:hAnsi="Arial" w:cs="Arial"/>
          <w:lang w:eastAsia="en-US"/>
        </w:rPr>
        <w:t>determine whether the operation of the 2009 Rules can be enhanced to further improve control and forecasting of spending.</w:t>
      </w:r>
    </w:p>
    <w:p w:rsidR="008E003C" w:rsidRDefault="00456595" w:rsidP="00F67B38">
      <w:pPr>
        <w:numPr>
          <w:ilvl w:val="1"/>
          <w:numId w:val="2"/>
        </w:numPr>
        <w:spacing w:after="120" w:line="360" w:lineRule="auto"/>
        <w:ind w:left="567" w:hanging="567"/>
        <w:jc w:val="both"/>
        <w:rPr>
          <w:rFonts w:ascii="Arial" w:eastAsia="Calibri" w:hAnsi="Arial" w:cs="Arial"/>
          <w:lang w:eastAsia="en-US"/>
        </w:rPr>
      </w:pPr>
      <w:r>
        <w:rPr>
          <w:rFonts w:ascii="Arial" w:eastAsia="Calibri" w:hAnsi="Arial" w:cs="Arial"/>
          <w:lang w:eastAsia="en-US"/>
        </w:rPr>
        <w:t>W</w:t>
      </w:r>
      <w:r w:rsidR="008E003C" w:rsidRPr="008E003C">
        <w:rPr>
          <w:rFonts w:ascii="Arial" w:eastAsia="Calibri" w:hAnsi="Arial" w:cs="Arial"/>
          <w:lang w:eastAsia="en-US"/>
        </w:rPr>
        <w:t xml:space="preserve">hen reviewing the fees and rates of payment within the 2009 Rules the </w:t>
      </w:r>
      <w:r w:rsidR="00A37FC1">
        <w:rPr>
          <w:rFonts w:ascii="Arial" w:eastAsia="Calibri" w:hAnsi="Arial" w:cs="Arial"/>
          <w:lang w:eastAsia="en-US"/>
        </w:rPr>
        <w:t>DoJ</w:t>
      </w:r>
      <w:r w:rsidR="008E003C" w:rsidRPr="008E003C">
        <w:rPr>
          <w:rFonts w:ascii="Arial" w:eastAsia="Calibri" w:hAnsi="Arial" w:cs="Arial"/>
          <w:lang w:eastAsia="en-US"/>
        </w:rPr>
        <w:t xml:space="preserve"> is required to ensure that they are consistent with the criteria set out in Article 37 of the </w:t>
      </w:r>
      <w:r w:rsidR="00EF07EB">
        <w:rPr>
          <w:rFonts w:ascii="Arial" w:eastAsia="Calibri" w:hAnsi="Arial" w:cs="Arial"/>
          <w:lang w:eastAsia="en-US"/>
        </w:rPr>
        <w:t>1981 Order</w:t>
      </w:r>
      <w:r w:rsidR="008E003C" w:rsidRPr="008E003C">
        <w:rPr>
          <w:rFonts w:ascii="Arial" w:eastAsia="Calibri" w:hAnsi="Arial" w:cs="Arial"/>
          <w:lang w:eastAsia="en-US"/>
        </w:rPr>
        <w:t xml:space="preserve"> as follows: </w:t>
      </w:r>
    </w:p>
    <w:p w:rsidR="008E003C" w:rsidRPr="008E003C" w:rsidRDefault="008E003C" w:rsidP="00F67B38">
      <w:pPr>
        <w:numPr>
          <w:ilvl w:val="1"/>
          <w:numId w:val="4"/>
        </w:numPr>
        <w:spacing w:after="120" w:line="360" w:lineRule="auto"/>
        <w:ind w:left="851" w:hanging="284"/>
        <w:jc w:val="both"/>
        <w:rPr>
          <w:rFonts w:ascii="Arial" w:eastAsia="Calibri" w:hAnsi="Arial" w:cs="Arial"/>
          <w:lang w:eastAsia="en-US"/>
        </w:rPr>
      </w:pPr>
      <w:r w:rsidRPr="008E003C">
        <w:rPr>
          <w:rFonts w:ascii="Arial" w:eastAsia="Calibri" w:hAnsi="Arial" w:cs="Arial"/>
          <w:lang w:eastAsia="en-US"/>
        </w:rPr>
        <w:t>the time and skill which work of the description to which the rules relate requires;</w:t>
      </w:r>
    </w:p>
    <w:p w:rsidR="008E003C" w:rsidRPr="008E003C" w:rsidRDefault="008E003C" w:rsidP="00F67B38">
      <w:pPr>
        <w:numPr>
          <w:ilvl w:val="1"/>
          <w:numId w:val="4"/>
        </w:numPr>
        <w:spacing w:after="120" w:line="360" w:lineRule="auto"/>
        <w:ind w:left="851" w:hanging="284"/>
        <w:jc w:val="both"/>
        <w:rPr>
          <w:rFonts w:ascii="Arial" w:eastAsia="Calibri" w:hAnsi="Arial" w:cs="Arial"/>
          <w:lang w:eastAsia="en-US"/>
        </w:rPr>
      </w:pPr>
      <w:r w:rsidRPr="008E003C">
        <w:rPr>
          <w:rFonts w:ascii="Arial" w:eastAsia="Calibri" w:hAnsi="Arial" w:cs="Arial"/>
          <w:lang w:eastAsia="en-US"/>
        </w:rPr>
        <w:t>the number and general level of competence of persons undertaking work of that description;</w:t>
      </w:r>
    </w:p>
    <w:p w:rsidR="008E003C" w:rsidRPr="008E003C" w:rsidRDefault="008E003C" w:rsidP="00F67B38">
      <w:pPr>
        <w:numPr>
          <w:ilvl w:val="1"/>
          <w:numId w:val="4"/>
        </w:numPr>
        <w:spacing w:after="120" w:line="360" w:lineRule="auto"/>
        <w:ind w:left="851" w:hanging="284"/>
        <w:jc w:val="both"/>
        <w:rPr>
          <w:rFonts w:ascii="Arial" w:eastAsia="Calibri" w:hAnsi="Arial" w:cs="Arial"/>
          <w:lang w:eastAsia="en-US"/>
        </w:rPr>
      </w:pPr>
      <w:r w:rsidRPr="008E003C">
        <w:rPr>
          <w:rFonts w:ascii="Arial" w:eastAsia="Calibri" w:hAnsi="Arial" w:cs="Arial"/>
          <w:lang w:eastAsia="en-US"/>
        </w:rPr>
        <w:t>the cost to public funds of any provision made by the rules; and</w:t>
      </w:r>
    </w:p>
    <w:p w:rsidR="008E003C" w:rsidRDefault="008E003C" w:rsidP="00F67B38">
      <w:pPr>
        <w:numPr>
          <w:ilvl w:val="1"/>
          <w:numId w:val="4"/>
        </w:numPr>
        <w:spacing w:after="360" w:line="360" w:lineRule="auto"/>
        <w:ind w:left="851" w:hanging="284"/>
        <w:jc w:val="both"/>
        <w:rPr>
          <w:rFonts w:ascii="Arial" w:eastAsia="Calibri" w:hAnsi="Arial" w:cs="Arial"/>
          <w:lang w:eastAsia="en-US"/>
        </w:rPr>
      </w:pPr>
      <w:r w:rsidRPr="008E003C">
        <w:rPr>
          <w:rFonts w:ascii="Arial" w:eastAsia="Calibri" w:hAnsi="Arial" w:cs="Arial"/>
          <w:lang w:eastAsia="en-US"/>
        </w:rPr>
        <w:t>the need to secure value for money.</w:t>
      </w:r>
    </w:p>
    <w:p w:rsidR="00EF07EB" w:rsidRDefault="00EF07EB" w:rsidP="00F67B38">
      <w:pPr>
        <w:numPr>
          <w:ilvl w:val="1"/>
          <w:numId w:val="2"/>
        </w:numPr>
        <w:spacing w:after="240" w:line="360" w:lineRule="auto"/>
        <w:ind w:left="567" w:hanging="567"/>
        <w:jc w:val="both"/>
        <w:rPr>
          <w:rFonts w:ascii="Arial" w:eastAsia="Calibri" w:hAnsi="Arial" w:cs="Arial"/>
          <w:lang w:eastAsia="en-US"/>
        </w:rPr>
      </w:pPr>
      <w:r w:rsidRPr="00B64583">
        <w:rPr>
          <w:rFonts w:ascii="Arial" w:hAnsi="Arial" w:cs="Arial"/>
        </w:rPr>
        <w:t xml:space="preserve">This document sets out the findings of the second statutory review and identifies potential areas which may require amendment.  </w:t>
      </w:r>
    </w:p>
    <w:p w:rsidR="00C45F71" w:rsidRPr="001E3D42" w:rsidRDefault="00777110" w:rsidP="00F67B38">
      <w:pPr>
        <w:numPr>
          <w:ilvl w:val="1"/>
          <w:numId w:val="2"/>
        </w:numPr>
        <w:spacing w:after="120" w:line="360" w:lineRule="auto"/>
        <w:ind w:left="567" w:hanging="567"/>
        <w:jc w:val="both"/>
        <w:rPr>
          <w:rFonts w:ascii="Arial" w:eastAsia="Calibri" w:hAnsi="Arial" w:cs="Arial"/>
          <w:lang w:eastAsia="en-US"/>
        </w:rPr>
      </w:pPr>
      <w:r w:rsidRPr="001E3D42">
        <w:rPr>
          <w:rFonts w:ascii="Arial" w:eastAsia="Calibri" w:hAnsi="Arial" w:cs="Arial"/>
          <w:lang w:eastAsia="en-US"/>
        </w:rPr>
        <w:t xml:space="preserve">Alongside this statutory review, the </w:t>
      </w:r>
      <w:r w:rsidR="00A37FC1">
        <w:rPr>
          <w:rFonts w:ascii="Arial" w:eastAsia="Calibri" w:hAnsi="Arial" w:cs="Arial"/>
          <w:lang w:eastAsia="en-US"/>
        </w:rPr>
        <w:t>DoJ</w:t>
      </w:r>
      <w:r w:rsidRPr="001E3D42">
        <w:rPr>
          <w:rFonts w:ascii="Arial" w:eastAsia="Calibri" w:hAnsi="Arial" w:cs="Arial"/>
          <w:lang w:eastAsia="en-US"/>
        </w:rPr>
        <w:t xml:space="preserve"> has also reviewed the remuneration arrangements for legal advice and representation of persons detained or appearing voluntarily at police interviews under the Police and Criminal Evidence (Northern Ireland) Order 1989.   Proposals in respect of this remuneration scheme will be consulted on separately once they are finalised.</w:t>
      </w:r>
    </w:p>
    <w:p w:rsidR="00C45F71" w:rsidRPr="00A93BFA" w:rsidRDefault="00C45F71" w:rsidP="00F67B38">
      <w:pPr>
        <w:spacing w:after="120" w:line="360" w:lineRule="auto"/>
        <w:ind w:left="567"/>
        <w:jc w:val="both"/>
        <w:rPr>
          <w:rFonts w:ascii="Arial" w:eastAsia="Calibri" w:hAnsi="Arial" w:cs="Arial"/>
          <w:highlight w:val="yellow"/>
          <w:lang w:eastAsia="en-US"/>
        </w:rPr>
      </w:pPr>
    </w:p>
    <w:p w:rsidR="008E003C" w:rsidRPr="008E003C" w:rsidRDefault="008E003C" w:rsidP="00F67B38">
      <w:pPr>
        <w:spacing w:after="360" w:line="360" w:lineRule="auto"/>
        <w:jc w:val="both"/>
        <w:rPr>
          <w:rFonts w:ascii="Arial" w:eastAsia="Calibri" w:hAnsi="Arial" w:cs="Arial"/>
          <w:lang w:eastAsia="en-US"/>
        </w:rPr>
      </w:pPr>
    </w:p>
    <w:p w:rsidR="00111C8F" w:rsidRDefault="00111C8F" w:rsidP="00F67B38">
      <w:pPr>
        <w:numPr>
          <w:ilvl w:val="0"/>
          <w:numId w:val="2"/>
        </w:numPr>
        <w:autoSpaceDE w:val="0"/>
        <w:autoSpaceDN w:val="0"/>
        <w:adjustRightInd w:val="0"/>
        <w:spacing w:after="240" w:line="360" w:lineRule="auto"/>
        <w:ind w:left="567" w:hanging="567"/>
        <w:jc w:val="both"/>
        <w:rPr>
          <w:rFonts w:ascii="Arial" w:hAnsi="Arial" w:cs="Arial"/>
          <w:b/>
        </w:rPr>
      </w:pPr>
      <w:r w:rsidRPr="00111C8F">
        <w:rPr>
          <w:rFonts w:ascii="Arial" w:hAnsi="Arial" w:cs="Arial"/>
          <w:b/>
        </w:rPr>
        <w:t>PURPOSE OF THE CONSULTATION</w:t>
      </w:r>
    </w:p>
    <w:p w:rsidR="006F0A46" w:rsidRDefault="00B465BF" w:rsidP="00F67B38">
      <w:pPr>
        <w:numPr>
          <w:ilvl w:val="1"/>
          <w:numId w:val="2"/>
        </w:numPr>
        <w:autoSpaceDE w:val="0"/>
        <w:autoSpaceDN w:val="0"/>
        <w:adjustRightInd w:val="0"/>
        <w:spacing w:after="240" w:line="360" w:lineRule="auto"/>
        <w:ind w:left="567" w:hanging="567"/>
        <w:jc w:val="both"/>
        <w:rPr>
          <w:rFonts w:ascii="Arial" w:hAnsi="Arial" w:cs="Arial"/>
          <w:color w:val="000000"/>
        </w:rPr>
      </w:pPr>
      <w:r>
        <w:rPr>
          <w:rFonts w:ascii="Arial" w:hAnsi="Arial" w:cs="Arial"/>
          <w:color w:val="000000"/>
        </w:rPr>
        <w:t xml:space="preserve">This </w:t>
      </w:r>
      <w:r w:rsidR="0034454A">
        <w:rPr>
          <w:rFonts w:ascii="Arial" w:hAnsi="Arial" w:cs="Arial"/>
          <w:color w:val="000000"/>
        </w:rPr>
        <w:t xml:space="preserve">consultation </w:t>
      </w:r>
      <w:r w:rsidR="0026590E">
        <w:rPr>
          <w:rFonts w:ascii="Arial" w:hAnsi="Arial" w:cs="Arial"/>
          <w:color w:val="000000"/>
        </w:rPr>
        <w:t xml:space="preserve">is being progressed to fulfil the </w:t>
      </w:r>
      <w:r w:rsidR="00A37FC1">
        <w:rPr>
          <w:rFonts w:ascii="Arial" w:hAnsi="Arial" w:cs="Arial"/>
          <w:color w:val="000000"/>
        </w:rPr>
        <w:t>DoJ</w:t>
      </w:r>
      <w:r w:rsidR="007E617D">
        <w:rPr>
          <w:rFonts w:ascii="Arial" w:hAnsi="Arial" w:cs="Arial"/>
          <w:color w:val="000000"/>
        </w:rPr>
        <w:t>’</w:t>
      </w:r>
      <w:r w:rsidR="0026590E">
        <w:rPr>
          <w:rFonts w:ascii="Arial" w:hAnsi="Arial" w:cs="Arial"/>
          <w:color w:val="000000"/>
        </w:rPr>
        <w:t xml:space="preserve">s statutory obligations as required by </w:t>
      </w:r>
      <w:r w:rsidR="00E2519D">
        <w:rPr>
          <w:rFonts w:ascii="Arial" w:hAnsi="Arial" w:cs="Arial"/>
          <w:color w:val="000000"/>
        </w:rPr>
        <w:t xml:space="preserve">Rule 16 of the 2009 Rules. </w:t>
      </w:r>
      <w:r w:rsidR="0026590E">
        <w:rPr>
          <w:rFonts w:ascii="Arial" w:hAnsi="Arial" w:cs="Arial"/>
          <w:color w:val="000000"/>
        </w:rPr>
        <w:t xml:space="preserve">  </w:t>
      </w:r>
    </w:p>
    <w:p w:rsidR="006F0A46" w:rsidRDefault="006F0A46" w:rsidP="00F67B38">
      <w:pPr>
        <w:numPr>
          <w:ilvl w:val="1"/>
          <w:numId w:val="2"/>
        </w:numPr>
        <w:autoSpaceDE w:val="0"/>
        <w:autoSpaceDN w:val="0"/>
        <w:adjustRightInd w:val="0"/>
        <w:spacing w:after="240" w:line="360" w:lineRule="auto"/>
        <w:ind w:left="567" w:hanging="567"/>
        <w:jc w:val="both"/>
        <w:rPr>
          <w:rFonts w:ascii="Arial" w:hAnsi="Arial" w:cs="Arial"/>
          <w:color w:val="000000"/>
        </w:rPr>
      </w:pPr>
      <w:r>
        <w:rPr>
          <w:rFonts w:ascii="Arial" w:hAnsi="Arial" w:cs="Arial"/>
          <w:color w:val="000000"/>
        </w:rPr>
        <w:t xml:space="preserve">Rule 16(2) requires the </w:t>
      </w:r>
      <w:r w:rsidR="00A37FC1">
        <w:rPr>
          <w:rFonts w:ascii="Arial" w:hAnsi="Arial" w:cs="Arial"/>
          <w:color w:val="000000"/>
        </w:rPr>
        <w:t>DoJ</w:t>
      </w:r>
      <w:r>
        <w:rPr>
          <w:rFonts w:ascii="Arial" w:hAnsi="Arial" w:cs="Arial"/>
          <w:color w:val="000000"/>
        </w:rPr>
        <w:t xml:space="preserve"> </w:t>
      </w:r>
      <w:r w:rsidR="00BB1859">
        <w:rPr>
          <w:rFonts w:ascii="Arial" w:hAnsi="Arial" w:cs="Arial"/>
          <w:color w:val="000000"/>
        </w:rPr>
        <w:t xml:space="preserve">to </w:t>
      </w:r>
      <w:r w:rsidRPr="006F0A46">
        <w:rPr>
          <w:rFonts w:ascii="Arial" w:hAnsi="Arial" w:cs="Arial"/>
          <w:color w:val="000000"/>
        </w:rPr>
        <w:t>conduct a formal review of the prescribed fees and level of payment at least once every “review period”</w:t>
      </w:r>
      <w:r>
        <w:rPr>
          <w:rFonts w:ascii="Arial" w:hAnsi="Arial" w:cs="Arial"/>
          <w:color w:val="000000"/>
        </w:rPr>
        <w:t xml:space="preserve">, which is defined as </w:t>
      </w:r>
      <w:r w:rsidRPr="006F0A46">
        <w:rPr>
          <w:rFonts w:ascii="Arial" w:hAnsi="Arial" w:cs="Arial"/>
          <w:color w:val="000000"/>
        </w:rPr>
        <w:t>“the period of three years beginning with 26 June 2014 and each subsequent period of three years”.</w:t>
      </w:r>
      <w:r>
        <w:rPr>
          <w:rFonts w:ascii="Arial" w:hAnsi="Arial" w:cs="Arial"/>
          <w:color w:val="000000"/>
        </w:rPr>
        <w:t xml:space="preserve">  </w:t>
      </w:r>
    </w:p>
    <w:p w:rsidR="006F0A46" w:rsidRPr="006F0A46" w:rsidRDefault="006F0A46" w:rsidP="00F67B38">
      <w:pPr>
        <w:numPr>
          <w:ilvl w:val="1"/>
          <w:numId w:val="2"/>
        </w:numPr>
        <w:autoSpaceDE w:val="0"/>
        <w:autoSpaceDN w:val="0"/>
        <w:adjustRightInd w:val="0"/>
        <w:spacing w:after="240" w:line="360" w:lineRule="auto"/>
        <w:ind w:left="567" w:hanging="567"/>
        <w:jc w:val="both"/>
        <w:rPr>
          <w:rFonts w:ascii="Arial" w:hAnsi="Arial" w:cs="Arial"/>
          <w:color w:val="000000"/>
        </w:rPr>
      </w:pPr>
      <w:r>
        <w:rPr>
          <w:rFonts w:ascii="Arial" w:hAnsi="Arial" w:cs="Arial"/>
          <w:color w:val="000000"/>
        </w:rPr>
        <w:t>A</w:t>
      </w:r>
      <w:r w:rsidRPr="006F0A46">
        <w:rPr>
          <w:rFonts w:ascii="Arial" w:hAnsi="Arial" w:cs="Arial"/>
          <w:color w:val="000000"/>
        </w:rPr>
        <w:t xml:space="preserve">s per rule 16(3), the </w:t>
      </w:r>
      <w:r w:rsidR="002E2A86" w:rsidRPr="006F0A46">
        <w:rPr>
          <w:rFonts w:ascii="Arial" w:hAnsi="Arial" w:cs="Arial"/>
          <w:color w:val="000000"/>
        </w:rPr>
        <w:t>D</w:t>
      </w:r>
      <w:r w:rsidR="002E2A86">
        <w:rPr>
          <w:rFonts w:ascii="Arial" w:hAnsi="Arial" w:cs="Arial"/>
          <w:color w:val="000000"/>
        </w:rPr>
        <w:t>oJ</w:t>
      </w:r>
      <w:r w:rsidR="002E2A86" w:rsidRPr="006F0A46">
        <w:rPr>
          <w:rFonts w:ascii="Arial" w:hAnsi="Arial" w:cs="Arial"/>
          <w:color w:val="000000"/>
        </w:rPr>
        <w:t xml:space="preserve"> </w:t>
      </w:r>
      <w:r w:rsidRPr="006F0A46">
        <w:rPr>
          <w:rFonts w:ascii="Arial" w:hAnsi="Arial" w:cs="Arial"/>
          <w:color w:val="000000"/>
        </w:rPr>
        <w:t xml:space="preserve">must publish the result of the review as soon as is reasonably practicable, in such form as it considers appropriate, and together with any proposals it may have with respect to the matters reviewed.  </w:t>
      </w:r>
    </w:p>
    <w:p w:rsidR="0025731B" w:rsidRPr="0025731B" w:rsidRDefault="0025731B" w:rsidP="00F67B38">
      <w:pPr>
        <w:numPr>
          <w:ilvl w:val="1"/>
          <w:numId w:val="2"/>
        </w:numPr>
        <w:autoSpaceDE w:val="0"/>
        <w:autoSpaceDN w:val="0"/>
        <w:adjustRightInd w:val="0"/>
        <w:spacing w:after="240" w:line="360" w:lineRule="auto"/>
        <w:ind w:left="567" w:hanging="567"/>
        <w:jc w:val="both"/>
        <w:rPr>
          <w:rFonts w:ascii="Arial" w:hAnsi="Arial" w:cs="Arial"/>
          <w:color w:val="000000"/>
        </w:rPr>
      </w:pPr>
      <w:r w:rsidRPr="0025731B">
        <w:rPr>
          <w:rFonts w:ascii="Arial" w:hAnsi="Arial" w:cs="Arial"/>
        </w:rPr>
        <w:t xml:space="preserve">In line with rule 16(4), the </w:t>
      </w:r>
      <w:r w:rsidR="002E2A86" w:rsidRPr="0025731B">
        <w:rPr>
          <w:rFonts w:ascii="Arial" w:hAnsi="Arial" w:cs="Arial"/>
        </w:rPr>
        <w:t>D</w:t>
      </w:r>
      <w:r w:rsidR="002E2A86">
        <w:rPr>
          <w:rFonts w:ascii="Arial" w:hAnsi="Arial" w:cs="Arial"/>
        </w:rPr>
        <w:t xml:space="preserve">oJ </w:t>
      </w:r>
      <w:r w:rsidRPr="0025731B">
        <w:rPr>
          <w:rFonts w:ascii="Arial" w:hAnsi="Arial" w:cs="Arial"/>
        </w:rPr>
        <w:t>must</w:t>
      </w:r>
      <w:r w:rsidR="006F0A46">
        <w:rPr>
          <w:rFonts w:ascii="Arial" w:hAnsi="Arial" w:cs="Arial"/>
        </w:rPr>
        <w:t xml:space="preserve"> also</w:t>
      </w:r>
      <w:r w:rsidRPr="0025731B">
        <w:rPr>
          <w:rFonts w:ascii="Arial" w:hAnsi="Arial" w:cs="Arial"/>
        </w:rPr>
        <w:t xml:space="preserve"> have regard </w:t>
      </w:r>
      <w:r w:rsidR="006469CB">
        <w:rPr>
          <w:rFonts w:ascii="Arial" w:hAnsi="Arial" w:cs="Arial"/>
        </w:rPr>
        <w:t>to</w:t>
      </w:r>
      <w:r w:rsidRPr="0025731B">
        <w:rPr>
          <w:rFonts w:ascii="Arial" w:hAnsi="Arial" w:cs="Arial"/>
        </w:rPr>
        <w:t>:</w:t>
      </w:r>
    </w:p>
    <w:p w:rsidR="0025731B" w:rsidRDefault="0025731B" w:rsidP="00F67B38">
      <w:pPr>
        <w:pStyle w:val="ListParagraph"/>
        <w:numPr>
          <w:ilvl w:val="1"/>
          <w:numId w:val="6"/>
        </w:numPr>
        <w:spacing w:line="360" w:lineRule="auto"/>
        <w:ind w:left="851" w:hanging="284"/>
        <w:jc w:val="both"/>
        <w:rPr>
          <w:rFonts w:ascii="Arial" w:hAnsi="Arial" w:cs="Arial"/>
          <w:sz w:val="24"/>
          <w:szCs w:val="24"/>
        </w:rPr>
      </w:pPr>
      <w:r>
        <w:rPr>
          <w:rFonts w:ascii="Arial" w:hAnsi="Arial" w:cs="Arial"/>
          <w:sz w:val="24"/>
          <w:szCs w:val="24"/>
        </w:rPr>
        <w:t xml:space="preserve">Any representations </w:t>
      </w:r>
      <w:r w:rsidRPr="003502CC">
        <w:rPr>
          <w:rFonts w:ascii="Arial" w:hAnsi="Arial" w:cs="Arial"/>
          <w:sz w:val="24"/>
          <w:szCs w:val="24"/>
          <w:lang w:val="en-US"/>
        </w:rPr>
        <w:t xml:space="preserve">made by the Lord Chief Justice, the Attorney General, the Law Society of Northern Ireland, the General Council of the Bar of Northern Ireland, </w:t>
      </w:r>
      <w:r w:rsidR="00373947">
        <w:rPr>
          <w:rFonts w:ascii="Arial" w:hAnsi="Arial" w:cs="Arial"/>
          <w:sz w:val="24"/>
          <w:szCs w:val="24"/>
          <w:lang w:val="en-US"/>
        </w:rPr>
        <w:t xml:space="preserve">and </w:t>
      </w:r>
      <w:r w:rsidRPr="003502CC">
        <w:rPr>
          <w:rFonts w:ascii="Arial" w:hAnsi="Arial" w:cs="Arial"/>
          <w:sz w:val="24"/>
          <w:szCs w:val="24"/>
          <w:lang w:val="en-US"/>
        </w:rPr>
        <w:t>the Director of Public Prosecutions for Northern Ireland</w:t>
      </w:r>
      <w:r>
        <w:rPr>
          <w:rFonts w:ascii="Arial" w:hAnsi="Arial" w:cs="Arial"/>
          <w:sz w:val="24"/>
          <w:szCs w:val="24"/>
        </w:rPr>
        <w:t>; and</w:t>
      </w:r>
    </w:p>
    <w:p w:rsidR="0025731B" w:rsidRDefault="0025731B" w:rsidP="00F67B38">
      <w:pPr>
        <w:pStyle w:val="ListParagraph"/>
        <w:numPr>
          <w:ilvl w:val="1"/>
          <w:numId w:val="6"/>
        </w:numPr>
        <w:spacing w:line="360" w:lineRule="auto"/>
        <w:ind w:left="851" w:hanging="284"/>
        <w:jc w:val="both"/>
        <w:rPr>
          <w:rFonts w:ascii="Arial" w:hAnsi="Arial" w:cs="Arial"/>
          <w:sz w:val="24"/>
          <w:szCs w:val="24"/>
        </w:rPr>
      </w:pPr>
      <w:r>
        <w:rPr>
          <w:rFonts w:ascii="Arial" w:hAnsi="Arial" w:cs="Arial"/>
          <w:sz w:val="24"/>
          <w:szCs w:val="24"/>
        </w:rPr>
        <w:t>Any other representations which it considers to be relevant.</w:t>
      </w:r>
    </w:p>
    <w:p w:rsidR="00994E40" w:rsidRPr="00AF5CDC" w:rsidRDefault="00994E40" w:rsidP="00F67B38">
      <w:pPr>
        <w:pStyle w:val="Default"/>
        <w:numPr>
          <w:ilvl w:val="1"/>
          <w:numId w:val="2"/>
        </w:numPr>
        <w:spacing w:after="240" w:line="360" w:lineRule="auto"/>
        <w:ind w:left="567" w:hanging="567"/>
        <w:jc w:val="both"/>
      </w:pPr>
      <w:r w:rsidRPr="00213D95">
        <w:t xml:space="preserve">Following consideration of responses to this consultation exercise, </w:t>
      </w:r>
      <w:r w:rsidR="007129C1">
        <w:t>any changes required to existing provision</w:t>
      </w:r>
      <w:r w:rsidRPr="00213D95">
        <w:t xml:space="preserve"> will be advanced through the </w:t>
      </w:r>
      <w:r w:rsidR="00B1105C" w:rsidRPr="00213D95">
        <w:t>legislative process.</w:t>
      </w:r>
    </w:p>
    <w:p w:rsidR="00994E40" w:rsidRDefault="00994E40" w:rsidP="00F67B38">
      <w:pPr>
        <w:autoSpaceDE w:val="0"/>
        <w:autoSpaceDN w:val="0"/>
        <w:adjustRightInd w:val="0"/>
        <w:spacing w:line="360" w:lineRule="auto"/>
        <w:ind w:left="720" w:hanging="720"/>
        <w:jc w:val="both"/>
        <w:rPr>
          <w:rFonts w:ascii="Arial" w:hAnsi="Arial" w:cs="Arial"/>
          <w:color w:val="000000"/>
        </w:rPr>
      </w:pPr>
    </w:p>
    <w:p w:rsidR="00111C8F" w:rsidRDefault="00111C8F" w:rsidP="00F67B38">
      <w:pPr>
        <w:pStyle w:val="Default"/>
        <w:numPr>
          <w:ilvl w:val="0"/>
          <w:numId w:val="2"/>
        </w:numPr>
        <w:spacing w:after="240" w:line="360" w:lineRule="auto"/>
        <w:ind w:left="567" w:hanging="567"/>
        <w:jc w:val="both"/>
        <w:rPr>
          <w:b/>
          <w:bCs/>
        </w:rPr>
        <w:sectPr w:rsidR="00111C8F" w:rsidSect="00111C8F">
          <w:headerReference w:type="even" r:id="rId14"/>
          <w:headerReference w:type="default" r:id="rId15"/>
          <w:footerReference w:type="default" r:id="rId16"/>
          <w:headerReference w:type="first" r:id="rId17"/>
          <w:pgSz w:w="11906" w:h="16838"/>
          <w:pgMar w:top="1440" w:right="1800" w:bottom="1440" w:left="1800" w:header="708" w:footer="708" w:gutter="0"/>
          <w:cols w:space="708"/>
          <w:docGrid w:linePitch="360"/>
        </w:sectPr>
      </w:pPr>
    </w:p>
    <w:p w:rsidR="00994E40" w:rsidRPr="00111C8F" w:rsidRDefault="00111C8F" w:rsidP="00F67B38">
      <w:pPr>
        <w:pStyle w:val="Default"/>
        <w:numPr>
          <w:ilvl w:val="0"/>
          <w:numId w:val="2"/>
        </w:numPr>
        <w:spacing w:after="240" w:line="360" w:lineRule="auto"/>
        <w:ind w:left="567" w:hanging="567"/>
        <w:jc w:val="both"/>
      </w:pPr>
      <w:r w:rsidRPr="00994E40">
        <w:rPr>
          <w:b/>
          <w:bCs/>
        </w:rPr>
        <w:t xml:space="preserve">RESPONDING TO THIS CONSULTATION </w:t>
      </w:r>
    </w:p>
    <w:p w:rsidR="00111C8F" w:rsidRDefault="00994E40" w:rsidP="00F67B38">
      <w:pPr>
        <w:pStyle w:val="Default"/>
        <w:numPr>
          <w:ilvl w:val="1"/>
          <w:numId w:val="2"/>
        </w:numPr>
        <w:spacing w:after="240" w:line="360" w:lineRule="auto"/>
        <w:ind w:left="567" w:hanging="567"/>
        <w:jc w:val="both"/>
      </w:pPr>
      <w:r w:rsidRPr="00A32503">
        <w:t xml:space="preserve">The </w:t>
      </w:r>
      <w:r w:rsidR="00D54833" w:rsidRPr="00A32503">
        <w:t>D</w:t>
      </w:r>
      <w:r w:rsidR="00D54833">
        <w:t>oJ</w:t>
      </w:r>
      <w:r w:rsidR="00D54833" w:rsidRPr="00A32503">
        <w:t xml:space="preserve"> </w:t>
      </w:r>
      <w:r w:rsidRPr="00A32503">
        <w:t>invites views on any issues raised by th</w:t>
      </w:r>
      <w:r w:rsidR="00A32503">
        <w:t>is</w:t>
      </w:r>
      <w:r w:rsidRPr="00A32503">
        <w:t xml:space="preserve"> consultation document</w:t>
      </w:r>
      <w:r w:rsidR="00E2519D">
        <w:t xml:space="preserve">.  </w:t>
      </w:r>
      <w:r w:rsidRPr="00A32503">
        <w:t xml:space="preserve">Responses are welcome from </w:t>
      </w:r>
      <w:r w:rsidRPr="0037603B">
        <w:t>organisations and individuals. I</w:t>
      </w:r>
      <w:r w:rsidRPr="00A32503">
        <w:t>f responding on behalf of an organisation, please make it clear who the organisation represents and, where appropriate, how the views</w:t>
      </w:r>
      <w:r w:rsidR="00111C8F">
        <w:t xml:space="preserve"> of the members were assembled.</w:t>
      </w:r>
    </w:p>
    <w:p w:rsidR="00994E40" w:rsidRPr="00A32503" w:rsidRDefault="00994E40" w:rsidP="00F67B38">
      <w:pPr>
        <w:pStyle w:val="Default"/>
        <w:numPr>
          <w:ilvl w:val="1"/>
          <w:numId w:val="2"/>
        </w:numPr>
        <w:spacing w:after="240" w:line="360" w:lineRule="auto"/>
        <w:ind w:left="567" w:hanging="567"/>
        <w:jc w:val="both"/>
      </w:pPr>
      <w:r w:rsidRPr="00A32503">
        <w:t xml:space="preserve">Please submit your response to this consultation to: </w:t>
      </w:r>
    </w:p>
    <w:p w:rsidR="00994E40" w:rsidRPr="00A32503" w:rsidRDefault="00994E40" w:rsidP="00F67B38">
      <w:pPr>
        <w:pStyle w:val="Default"/>
        <w:ind w:firstLine="720"/>
        <w:jc w:val="both"/>
      </w:pPr>
      <w:r w:rsidRPr="00A32503">
        <w:t xml:space="preserve">Consultation Co-ordinator </w:t>
      </w:r>
    </w:p>
    <w:p w:rsidR="00994E40" w:rsidRPr="00A32503" w:rsidRDefault="00994E40" w:rsidP="00F67B38">
      <w:pPr>
        <w:pStyle w:val="Default"/>
        <w:ind w:firstLine="720"/>
        <w:jc w:val="both"/>
      </w:pPr>
      <w:r w:rsidRPr="00A32503">
        <w:t xml:space="preserve">Public Legal Services Division </w:t>
      </w:r>
    </w:p>
    <w:p w:rsidR="00994E40" w:rsidRPr="00A32503" w:rsidRDefault="00994E40" w:rsidP="00F67B38">
      <w:pPr>
        <w:pStyle w:val="Default"/>
        <w:ind w:firstLine="720"/>
        <w:jc w:val="both"/>
      </w:pPr>
      <w:r w:rsidRPr="00A32503">
        <w:t xml:space="preserve">Department of Justice </w:t>
      </w:r>
    </w:p>
    <w:p w:rsidR="00994E40" w:rsidRPr="00A32503" w:rsidRDefault="00994E40" w:rsidP="00F67B38">
      <w:pPr>
        <w:pStyle w:val="Default"/>
        <w:ind w:firstLine="720"/>
        <w:jc w:val="both"/>
      </w:pPr>
      <w:r w:rsidRPr="00A32503">
        <w:t xml:space="preserve">Massey House </w:t>
      </w:r>
    </w:p>
    <w:p w:rsidR="00994E40" w:rsidRPr="00A32503" w:rsidRDefault="00994E40" w:rsidP="00F67B38">
      <w:pPr>
        <w:pStyle w:val="Default"/>
        <w:ind w:firstLine="720"/>
        <w:jc w:val="both"/>
      </w:pPr>
      <w:r w:rsidRPr="00A32503">
        <w:t xml:space="preserve">Stormont Estate </w:t>
      </w:r>
    </w:p>
    <w:p w:rsidR="00994E40" w:rsidRPr="00A32503" w:rsidRDefault="00994E40" w:rsidP="00F67B38">
      <w:pPr>
        <w:pStyle w:val="Default"/>
        <w:ind w:firstLine="720"/>
        <w:jc w:val="both"/>
      </w:pPr>
      <w:r w:rsidRPr="00A32503">
        <w:t xml:space="preserve">Belfast </w:t>
      </w:r>
    </w:p>
    <w:p w:rsidR="00994E40" w:rsidRDefault="00994E40" w:rsidP="00F67B38">
      <w:pPr>
        <w:pStyle w:val="Default"/>
        <w:ind w:firstLine="720"/>
        <w:jc w:val="both"/>
      </w:pPr>
      <w:r w:rsidRPr="00A32503">
        <w:t xml:space="preserve">BT4 3SX </w:t>
      </w:r>
    </w:p>
    <w:p w:rsidR="00E2648D" w:rsidRPr="00A32503" w:rsidRDefault="00E2648D" w:rsidP="00F67B38">
      <w:pPr>
        <w:pStyle w:val="Default"/>
        <w:ind w:firstLine="720"/>
        <w:jc w:val="both"/>
      </w:pPr>
    </w:p>
    <w:p w:rsidR="00994E40" w:rsidRPr="00A32503" w:rsidRDefault="00994E40" w:rsidP="00F67B38">
      <w:pPr>
        <w:pStyle w:val="Default"/>
        <w:spacing w:line="360" w:lineRule="auto"/>
        <w:ind w:firstLine="720"/>
        <w:jc w:val="both"/>
        <w:rPr>
          <w:u w:val="single"/>
        </w:rPr>
      </w:pPr>
      <w:r w:rsidRPr="00726982">
        <w:t xml:space="preserve">Email: </w:t>
      </w:r>
      <w:r w:rsidRPr="00726982">
        <w:rPr>
          <w:u w:val="single"/>
        </w:rPr>
        <w:t>plsdresponses@</w:t>
      </w:r>
      <w:r w:rsidR="00604906" w:rsidRPr="00726982">
        <w:rPr>
          <w:u w:val="single"/>
        </w:rPr>
        <w:t>justice-ni</w:t>
      </w:r>
      <w:r w:rsidRPr="00726982">
        <w:rPr>
          <w:u w:val="single"/>
        </w:rPr>
        <w:t>.x.gsi.gov.uk</w:t>
      </w:r>
      <w:r w:rsidRPr="00A32503">
        <w:rPr>
          <w:u w:val="single"/>
        </w:rPr>
        <w:t xml:space="preserve"> </w:t>
      </w:r>
    </w:p>
    <w:p w:rsidR="00994E40" w:rsidRPr="00A32503" w:rsidRDefault="00994E40" w:rsidP="00F67B38">
      <w:pPr>
        <w:pStyle w:val="Default"/>
        <w:spacing w:line="360" w:lineRule="auto"/>
        <w:ind w:firstLine="720"/>
        <w:jc w:val="both"/>
      </w:pPr>
      <w:r w:rsidRPr="00A32503">
        <w:t xml:space="preserve">Tel: 028 9016 </w:t>
      </w:r>
      <w:r w:rsidR="00456595" w:rsidRPr="00A32503">
        <w:t>95</w:t>
      </w:r>
      <w:r w:rsidR="00456595">
        <w:t>59</w:t>
      </w:r>
      <w:r w:rsidR="00456595" w:rsidRPr="00A32503">
        <w:t xml:space="preserve"> </w:t>
      </w:r>
    </w:p>
    <w:p w:rsidR="00994E40" w:rsidRPr="00A32503" w:rsidRDefault="00994E40" w:rsidP="00F67B38">
      <w:pPr>
        <w:pStyle w:val="Default"/>
        <w:spacing w:line="360" w:lineRule="auto"/>
        <w:ind w:firstLine="720"/>
        <w:jc w:val="both"/>
      </w:pPr>
      <w:r w:rsidRPr="00A32503">
        <w:t xml:space="preserve">Text phone: 028 9052 7668 </w:t>
      </w:r>
    </w:p>
    <w:p w:rsidR="00994E40" w:rsidRPr="00A32503" w:rsidRDefault="00994E40" w:rsidP="00F67B38">
      <w:pPr>
        <w:pStyle w:val="Default"/>
        <w:jc w:val="both"/>
      </w:pPr>
    </w:p>
    <w:p w:rsidR="00111C8F" w:rsidRDefault="00994E40" w:rsidP="00F67B38">
      <w:pPr>
        <w:pStyle w:val="Default"/>
        <w:numPr>
          <w:ilvl w:val="1"/>
          <w:numId w:val="2"/>
        </w:numPr>
        <w:spacing w:after="240" w:line="360" w:lineRule="auto"/>
        <w:ind w:left="567" w:hanging="567"/>
        <w:jc w:val="both"/>
      </w:pPr>
      <w:r w:rsidRPr="00A32503">
        <w:t xml:space="preserve">Responses must be received by </w:t>
      </w:r>
      <w:r w:rsidR="00E90E61" w:rsidRPr="00526B9C">
        <w:rPr>
          <w:b/>
          <w:bCs/>
        </w:rPr>
        <w:t xml:space="preserve">16.00 on </w:t>
      </w:r>
      <w:r w:rsidR="0083229A">
        <w:rPr>
          <w:b/>
          <w:bCs/>
        </w:rPr>
        <w:t>Monday 15</w:t>
      </w:r>
      <w:r w:rsidR="00E90E61" w:rsidRPr="00526B9C">
        <w:rPr>
          <w:b/>
          <w:bCs/>
        </w:rPr>
        <w:t xml:space="preserve"> </w:t>
      </w:r>
      <w:r w:rsidR="0073794B" w:rsidRPr="00526B9C">
        <w:rPr>
          <w:b/>
          <w:bCs/>
        </w:rPr>
        <w:t>January</w:t>
      </w:r>
      <w:r w:rsidR="00D9785F" w:rsidRPr="00526B9C">
        <w:rPr>
          <w:b/>
          <w:bCs/>
        </w:rPr>
        <w:t xml:space="preserve"> </w:t>
      </w:r>
      <w:r w:rsidR="000B2623" w:rsidRPr="00526B9C">
        <w:rPr>
          <w:b/>
          <w:bCs/>
        </w:rPr>
        <w:t>2018</w:t>
      </w:r>
      <w:r w:rsidR="00726982" w:rsidRPr="00526B9C">
        <w:rPr>
          <w:b/>
          <w:bCs/>
        </w:rPr>
        <w:t>.</w:t>
      </w:r>
      <w:r w:rsidRPr="00A32503">
        <w:t xml:space="preserve"> </w:t>
      </w:r>
    </w:p>
    <w:p w:rsidR="00111C8F" w:rsidRPr="00111C8F" w:rsidRDefault="00B465BF" w:rsidP="00F67B38">
      <w:pPr>
        <w:pStyle w:val="Default"/>
        <w:numPr>
          <w:ilvl w:val="1"/>
          <w:numId w:val="2"/>
        </w:numPr>
        <w:spacing w:after="240" w:line="360" w:lineRule="auto"/>
        <w:ind w:left="567" w:hanging="567"/>
        <w:jc w:val="both"/>
      </w:pPr>
      <w:r w:rsidRPr="00111C8F">
        <w:t xml:space="preserve">A copy of this </w:t>
      </w:r>
      <w:r w:rsidR="00994E40" w:rsidRPr="00111C8F">
        <w:t>consul</w:t>
      </w:r>
      <w:r w:rsidR="00A32503" w:rsidRPr="00111C8F">
        <w:t>t</w:t>
      </w:r>
      <w:r w:rsidR="00994E40" w:rsidRPr="00111C8F">
        <w:t>ation</w:t>
      </w:r>
      <w:r w:rsidRPr="00111C8F">
        <w:t xml:space="preserve"> will be placed on the </w:t>
      </w:r>
      <w:r w:rsidR="00D54833" w:rsidRPr="00111C8F">
        <w:t>D</w:t>
      </w:r>
      <w:r w:rsidR="00D54833">
        <w:t>oJ’s</w:t>
      </w:r>
      <w:r w:rsidR="00D54833" w:rsidRPr="00111C8F">
        <w:t xml:space="preserve"> </w:t>
      </w:r>
      <w:r w:rsidRPr="00111C8F">
        <w:t>website at</w:t>
      </w:r>
      <w:r w:rsidR="00EA44FC" w:rsidRPr="00111C8F">
        <w:t xml:space="preserve"> </w:t>
      </w:r>
      <w:hyperlink r:id="rId18" w:history="1">
        <w:r w:rsidR="00604906" w:rsidRPr="00111C8F">
          <w:rPr>
            <w:rStyle w:val="Hyperlink"/>
          </w:rPr>
          <w:t>www.justice-ni.gov.uk</w:t>
        </w:r>
      </w:hyperlink>
      <w:r w:rsidR="00EA44FC" w:rsidRPr="00111C8F">
        <w:rPr>
          <w:color w:val="0000FF"/>
        </w:rPr>
        <w:t>.</w:t>
      </w:r>
    </w:p>
    <w:p w:rsidR="00B465BF" w:rsidRPr="00111C8F" w:rsidRDefault="00B465BF" w:rsidP="00F67B38">
      <w:pPr>
        <w:pStyle w:val="Default"/>
        <w:numPr>
          <w:ilvl w:val="1"/>
          <w:numId w:val="2"/>
        </w:numPr>
        <w:spacing w:after="240" w:line="360" w:lineRule="auto"/>
        <w:ind w:left="567" w:hanging="567"/>
        <w:jc w:val="both"/>
      </w:pPr>
      <w:r w:rsidRPr="00111C8F">
        <w:t>You may make additional copies of this report without seeking permission</w:t>
      </w:r>
      <w:r w:rsidR="00326079" w:rsidRPr="00111C8F">
        <w:t xml:space="preserve"> -</w:t>
      </w:r>
      <w:r w:rsidRPr="00111C8F">
        <w:t xml:space="preserve"> we would invite you to access the document through our website and </w:t>
      </w:r>
      <w:r w:rsidR="00326079" w:rsidRPr="00111C8F">
        <w:t xml:space="preserve">print or </w:t>
      </w:r>
      <w:r w:rsidRPr="00111C8F">
        <w:t>make</w:t>
      </w:r>
      <w:r w:rsidR="00EA44FC" w:rsidRPr="00111C8F">
        <w:t xml:space="preserve"> </w:t>
      </w:r>
      <w:r w:rsidRPr="00111C8F">
        <w:t xml:space="preserve">copies yourself. </w:t>
      </w:r>
      <w:r w:rsidR="00326079" w:rsidRPr="00111C8F">
        <w:t xml:space="preserve"> </w:t>
      </w:r>
      <w:r w:rsidRPr="00111C8F">
        <w:t xml:space="preserve">If you do not have access to the </w:t>
      </w:r>
      <w:r w:rsidR="00326079" w:rsidRPr="00111C8F">
        <w:t>internet</w:t>
      </w:r>
      <w:r w:rsidRPr="00111C8F">
        <w:t xml:space="preserve"> </w:t>
      </w:r>
      <w:r w:rsidR="00326079" w:rsidRPr="00111C8F">
        <w:t xml:space="preserve">or, if it would assist you to access the document in an alternative format or a language other than English, please let us know and we will do our best to assist you. </w:t>
      </w:r>
      <w:r w:rsidR="0037603B" w:rsidRPr="00111C8F">
        <w:t xml:space="preserve"> </w:t>
      </w:r>
      <w:r w:rsidR="00326079" w:rsidRPr="00111C8F">
        <w:t>Please contact the Consultation Co-ordinator with your specific request.</w:t>
      </w:r>
    </w:p>
    <w:p w:rsidR="00EA44FC" w:rsidRPr="00A32503" w:rsidRDefault="00EA44FC" w:rsidP="00F67B38">
      <w:pPr>
        <w:autoSpaceDE w:val="0"/>
        <w:autoSpaceDN w:val="0"/>
        <w:adjustRightInd w:val="0"/>
        <w:spacing w:line="360" w:lineRule="auto"/>
        <w:jc w:val="both"/>
        <w:rPr>
          <w:rFonts w:ascii="Arial" w:hAnsi="Arial" w:cs="Arial"/>
          <w:color w:val="000000"/>
        </w:rPr>
      </w:pPr>
    </w:p>
    <w:p w:rsidR="008E3263" w:rsidRDefault="00FB61C4" w:rsidP="00F67B38">
      <w:pPr>
        <w:numPr>
          <w:ilvl w:val="0"/>
          <w:numId w:val="2"/>
        </w:numPr>
        <w:autoSpaceDE w:val="0"/>
        <w:autoSpaceDN w:val="0"/>
        <w:adjustRightInd w:val="0"/>
        <w:spacing w:after="240" w:line="360" w:lineRule="auto"/>
        <w:ind w:left="567" w:hanging="567"/>
        <w:jc w:val="both"/>
        <w:rPr>
          <w:rFonts w:ascii="Arial" w:hAnsi="Arial" w:cs="Arial"/>
          <w:b/>
        </w:rPr>
      </w:pPr>
      <w:r>
        <w:rPr>
          <w:rFonts w:ascii="Arial" w:hAnsi="Arial" w:cs="Arial"/>
        </w:rPr>
        <w:br w:type="page"/>
      </w:r>
      <w:r w:rsidR="00111C8F">
        <w:rPr>
          <w:rFonts w:ascii="Arial" w:hAnsi="Arial" w:cs="Arial"/>
          <w:b/>
        </w:rPr>
        <w:t xml:space="preserve">SUMMARY OF </w:t>
      </w:r>
      <w:r w:rsidR="003F4E8C">
        <w:rPr>
          <w:rFonts w:ascii="Arial" w:hAnsi="Arial" w:cs="Arial"/>
          <w:b/>
        </w:rPr>
        <w:t xml:space="preserve">FINDINGS </w:t>
      </w:r>
      <w:r w:rsidR="00117307">
        <w:rPr>
          <w:rFonts w:ascii="Arial" w:hAnsi="Arial" w:cs="Arial"/>
          <w:b/>
        </w:rPr>
        <w:t xml:space="preserve">AND </w:t>
      </w:r>
      <w:r w:rsidR="003F4E8C">
        <w:rPr>
          <w:rFonts w:ascii="Arial" w:hAnsi="Arial" w:cs="Arial"/>
          <w:b/>
        </w:rPr>
        <w:t>PROPOSALS</w:t>
      </w:r>
    </w:p>
    <w:p w:rsidR="00111C8F" w:rsidRPr="00091F1E" w:rsidRDefault="00091F1E" w:rsidP="00F67B38">
      <w:pPr>
        <w:numPr>
          <w:ilvl w:val="1"/>
          <w:numId w:val="2"/>
        </w:numPr>
        <w:autoSpaceDE w:val="0"/>
        <w:autoSpaceDN w:val="0"/>
        <w:adjustRightInd w:val="0"/>
        <w:spacing w:after="240" w:line="360" w:lineRule="auto"/>
        <w:ind w:left="567" w:hanging="567"/>
        <w:jc w:val="both"/>
        <w:rPr>
          <w:rFonts w:ascii="Arial" w:hAnsi="Arial" w:cs="Arial"/>
          <w:b/>
        </w:rPr>
      </w:pPr>
      <w:r w:rsidRPr="00091F1E">
        <w:rPr>
          <w:rFonts w:ascii="Arial" w:hAnsi="Arial" w:cs="Arial"/>
        </w:rPr>
        <w:t xml:space="preserve">The following findings and proposals are based on the informal engagement by the review team with both internal and external stakeholders.  The </w:t>
      </w:r>
      <w:r w:rsidR="00A37FC1">
        <w:rPr>
          <w:rFonts w:ascii="Arial" w:hAnsi="Arial" w:cs="Arial"/>
        </w:rPr>
        <w:t>DoJ</w:t>
      </w:r>
      <w:r w:rsidRPr="00091F1E">
        <w:rPr>
          <w:rFonts w:ascii="Arial" w:hAnsi="Arial" w:cs="Arial"/>
        </w:rPr>
        <w:t xml:space="preserve"> welcomes feedback on these findings and proposals, as well as any other comments that stakeholders may have in respect of the 2009 Rules.</w:t>
      </w:r>
    </w:p>
    <w:p w:rsidR="003C3154" w:rsidRPr="00117307" w:rsidRDefault="003C3154" w:rsidP="00F67B38">
      <w:pPr>
        <w:autoSpaceDE w:val="0"/>
        <w:autoSpaceDN w:val="0"/>
        <w:adjustRightInd w:val="0"/>
        <w:spacing w:after="240" w:line="360" w:lineRule="auto"/>
        <w:ind w:left="567"/>
        <w:jc w:val="both"/>
        <w:rPr>
          <w:rFonts w:ascii="Arial" w:hAnsi="Arial" w:cs="Arial"/>
          <w:b/>
          <w:i/>
        </w:rPr>
      </w:pPr>
      <w:r w:rsidRPr="001E3D42">
        <w:rPr>
          <w:rFonts w:ascii="Arial" w:hAnsi="Arial" w:cs="Arial"/>
          <w:b/>
          <w:i/>
        </w:rPr>
        <w:t>Time and Skill</w:t>
      </w:r>
    </w:p>
    <w:p w:rsidR="003C3154" w:rsidRPr="003C3154" w:rsidRDefault="003C3154" w:rsidP="00F67B38">
      <w:pPr>
        <w:numPr>
          <w:ilvl w:val="1"/>
          <w:numId w:val="2"/>
        </w:numPr>
        <w:autoSpaceDE w:val="0"/>
        <w:autoSpaceDN w:val="0"/>
        <w:adjustRightInd w:val="0"/>
        <w:spacing w:after="240" w:line="360" w:lineRule="auto"/>
        <w:ind w:left="567" w:hanging="567"/>
        <w:jc w:val="both"/>
        <w:rPr>
          <w:rFonts w:ascii="Arial" w:hAnsi="Arial" w:cs="Arial"/>
        </w:rPr>
      </w:pPr>
      <w:r w:rsidRPr="003C3154">
        <w:rPr>
          <w:rFonts w:ascii="Arial" w:hAnsi="Arial" w:cs="Arial"/>
        </w:rPr>
        <w:t xml:space="preserve">The 2009 Rules provide for different fees depending on the seriousness of the offence and the manner of disposal, reflecting the </w:t>
      </w:r>
      <w:r w:rsidR="006469CB">
        <w:rPr>
          <w:rFonts w:ascii="Arial" w:hAnsi="Arial" w:cs="Arial"/>
        </w:rPr>
        <w:t xml:space="preserve">varying levels of </w:t>
      </w:r>
      <w:r w:rsidRPr="003C3154">
        <w:rPr>
          <w:rFonts w:ascii="Arial" w:hAnsi="Arial" w:cs="Arial"/>
        </w:rPr>
        <w:t xml:space="preserve">complexity of cases and accordingly the level of skill required, and work required, respectively.  </w:t>
      </w:r>
    </w:p>
    <w:p w:rsidR="003C3154" w:rsidRPr="003C3154" w:rsidRDefault="003C3154" w:rsidP="00F67B38">
      <w:pPr>
        <w:numPr>
          <w:ilvl w:val="1"/>
          <w:numId w:val="2"/>
        </w:numPr>
        <w:autoSpaceDE w:val="0"/>
        <w:autoSpaceDN w:val="0"/>
        <w:adjustRightInd w:val="0"/>
        <w:spacing w:after="240" w:line="360" w:lineRule="auto"/>
        <w:ind w:left="567" w:hanging="567"/>
        <w:jc w:val="both"/>
        <w:rPr>
          <w:rFonts w:ascii="Arial" w:hAnsi="Arial" w:cs="Arial"/>
        </w:rPr>
      </w:pPr>
      <w:r w:rsidRPr="003C3154">
        <w:rPr>
          <w:rFonts w:ascii="Arial" w:hAnsi="Arial" w:cs="Arial"/>
        </w:rPr>
        <w:t>The remuneration system operates on the “swings and roundabouts” principle involving a matrix of standard basic fees which vary according to the mode of the disposal of the case (guilty plea, contest or committal) and the nature of the offence charged, together with a range of fixed payments for specific tasks.  This approach means that a range of case-types are grouped together and a standard basic fee is applied to remunerate legal representatives for each case that falls into the category.</w:t>
      </w:r>
    </w:p>
    <w:p w:rsidR="003C3154" w:rsidRPr="003C3154" w:rsidRDefault="003C3154" w:rsidP="00F67B38">
      <w:pPr>
        <w:numPr>
          <w:ilvl w:val="1"/>
          <w:numId w:val="2"/>
        </w:numPr>
        <w:autoSpaceDE w:val="0"/>
        <w:autoSpaceDN w:val="0"/>
        <w:adjustRightInd w:val="0"/>
        <w:spacing w:after="240" w:line="360" w:lineRule="auto"/>
        <w:ind w:left="567" w:hanging="567"/>
        <w:jc w:val="both"/>
        <w:rPr>
          <w:rFonts w:ascii="Arial" w:hAnsi="Arial" w:cs="Arial"/>
        </w:rPr>
      </w:pPr>
      <w:r w:rsidRPr="003C3154">
        <w:rPr>
          <w:rFonts w:ascii="Arial" w:hAnsi="Arial" w:cs="Arial"/>
        </w:rPr>
        <w:t xml:space="preserve">This approach accepts that some of the cases falling into each category will be relatively straightforward and the standard fee will provide relatively generous </w:t>
      </w:r>
      <w:r w:rsidR="006469CB">
        <w:rPr>
          <w:rFonts w:ascii="Arial" w:hAnsi="Arial" w:cs="Arial"/>
        </w:rPr>
        <w:t>remuneration</w:t>
      </w:r>
      <w:r w:rsidRPr="003C3154">
        <w:rPr>
          <w:rFonts w:ascii="Arial" w:hAnsi="Arial" w:cs="Arial"/>
        </w:rPr>
        <w:t xml:space="preserve">.  </w:t>
      </w:r>
      <w:r w:rsidR="006469CB">
        <w:rPr>
          <w:rFonts w:ascii="Arial" w:hAnsi="Arial" w:cs="Arial"/>
        </w:rPr>
        <w:t xml:space="preserve">Conversely, a limited number of </w:t>
      </w:r>
      <w:r w:rsidRPr="003C3154">
        <w:rPr>
          <w:rFonts w:ascii="Arial" w:hAnsi="Arial" w:cs="Arial"/>
        </w:rPr>
        <w:t xml:space="preserve">other cases may be more complex and </w:t>
      </w:r>
      <w:r w:rsidR="006469CB">
        <w:rPr>
          <w:rFonts w:ascii="Arial" w:hAnsi="Arial" w:cs="Arial"/>
        </w:rPr>
        <w:t xml:space="preserve">will </w:t>
      </w:r>
      <w:r w:rsidRPr="003C3154">
        <w:rPr>
          <w:rFonts w:ascii="Arial" w:hAnsi="Arial" w:cs="Arial"/>
        </w:rPr>
        <w:t xml:space="preserve">therefore </w:t>
      </w:r>
      <w:r w:rsidR="006469CB">
        <w:rPr>
          <w:rFonts w:ascii="Arial" w:hAnsi="Arial" w:cs="Arial"/>
        </w:rPr>
        <w:t xml:space="preserve">not </w:t>
      </w:r>
      <w:r w:rsidRPr="003C3154">
        <w:rPr>
          <w:rFonts w:ascii="Arial" w:hAnsi="Arial" w:cs="Arial"/>
        </w:rPr>
        <w:t xml:space="preserve">be as </w:t>
      </w:r>
      <w:r w:rsidR="000810D2">
        <w:rPr>
          <w:rFonts w:ascii="Arial" w:hAnsi="Arial" w:cs="Arial"/>
        </w:rPr>
        <w:t xml:space="preserve">generously </w:t>
      </w:r>
      <w:r w:rsidRPr="003C3154">
        <w:rPr>
          <w:rFonts w:ascii="Arial" w:hAnsi="Arial" w:cs="Arial"/>
        </w:rPr>
        <w:t>remunerated</w:t>
      </w:r>
      <w:r w:rsidR="000810D2">
        <w:rPr>
          <w:rFonts w:ascii="Arial" w:hAnsi="Arial" w:cs="Arial"/>
        </w:rPr>
        <w:t xml:space="preserve">. </w:t>
      </w:r>
    </w:p>
    <w:p w:rsidR="003C3154" w:rsidRPr="003C3154" w:rsidRDefault="003C3154" w:rsidP="00F67B38">
      <w:pPr>
        <w:numPr>
          <w:ilvl w:val="1"/>
          <w:numId w:val="2"/>
        </w:numPr>
        <w:autoSpaceDE w:val="0"/>
        <w:autoSpaceDN w:val="0"/>
        <w:adjustRightInd w:val="0"/>
        <w:spacing w:after="240" w:line="360" w:lineRule="auto"/>
        <w:ind w:left="567" w:hanging="567"/>
        <w:jc w:val="both"/>
        <w:rPr>
          <w:rFonts w:ascii="Arial" w:hAnsi="Arial" w:cs="Arial"/>
        </w:rPr>
      </w:pPr>
      <w:r w:rsidRPr="003C3154">
        <w:rPr>
          <w:rFonts w:ascii="Arial" w:hAnsi="Arial" w:cs="Arial"/>
        </w:rPr>
        <w:t xml:space="preserve">In addition, amendments introduced </w:t>
      </w:r>
      <w:r w:rsidR="00117307">
        <w:rPr>
          <w:rFonts w:ascii="Arial" w:hAnsi="Arial" w:cs="Arial"/>
        </w:rPr>
        <w:t>by the</w:t>
      </w:r>
      <w:r w:rsidRPr="003C3154">
        <w:rPr>
          <w:rFonts w:ascii="Arial" w:hAnsi="Arial" w:cs="Arial"/>
        </w:rPr>
        <w:t xml:space="preserve"> 2016 </w:t>
      </w:r>
      <w:r w:rsidR="00117307">
        <w:rPr>
          <w:rFonts w:ascii="Arial" w:hAnsi="Arial" w:cs="Arial"/>
        </w:rPr>
        <w:t xml:space="preserve">rules </w:t>
      </w:r>
      <w:r w:rsidRPr="003C3154">
        <w:rPr>
          <w:rFonts w:ascii="Arial" w:hAnsi="Arial" w:cs="Arial"/>
        </w:rPr>
        <w:t>make provision for the remuneration of cases, or specific circumstances within cases, which are exceptional</w:t>
      </w:r>
      <w:r w:rsidR="000810D2">
        <w:rPr>
          <w:rFonts w:ascii="Arial" w:hAnsi="Arial" w:cs="Arial"/>
        </w:rPr>
        <w:t xml:space="preserve"> and for which the standard fees do not provide appropriate remuneration, even on the swings and roundabouts basis</w:t>
      </w:r>
      <w:r w:rsidRPr="003C3154">
        <w:rPr>
          <w:rFonts w:ascii="Arial" w:hAnsi="Arial" w:cs="Arial"/>
        </w:rPr>
        <w:t>.  The introduction of these provisions allows for greater flexibility to provide adequate remuneration in the most complex cases, reflective of the additional level of skill and work required.  Provision is also made for solicitors and counsel to appeal to the Taxing Master against decisions made in particular cases.</w:t>
      </w:r>
    </w:p>
    <w:p w:rsidR="00C95EB9" w:rsidRDefault="00FE0C81" w:rsidP="00F67B38">
      <w:pPr>
        <w:numPr>
          <w:ilvl w:val="1"/>
          <w:numId w:val="2"/>
        </w:numPr>
        <w:autoSpaceDE w:val="0"/>
        <w:autoSpaceDN w:val="0"/>
        <w:adjustRightInd w:val="0"/>
        <w:spacing w:after="240" w:line="360" w:lineRule="auto"/>
        <w:ind w:left="567" w:hanging="567"/>
        <w:jc w:val="both"/>
        <w:rPr>
          <w:rFonts w:ascii="Arial" w:hAnsi="Arial" w:cs="Arial"/>
        </w:rPr>
      </w:pPr>
      <w:r w:rsidRPr="00FE0C81">
        <w:rPr>
          <w:rFonts w:ascii="Arial" w:hAnsi="Arial" w:cs="Arial"/>
        </w:rPr>
        <w:t xml:space="preserve">During </w:t>
      </w:r>
      <w:r w:rsidR="00117307">
        <w:rPr>
          <w:rFonts w:ascii="Arial" w:hAnsi="Arial" w:cs="Arial"/>
        </w:rPr>
        <w:t>pre-</w:t>
      </w:r>
      <w:r w:rsidRPr="00FE0C81">
        <w:rPr>
          <w:rFonts w:ascii="Arial" w:hAnsi="Arial" w:cs="Arial"/>
        </w:rPr>
        <w:t xml:space="preserve">consultation meetings with the </w:t>
      </w:r>
      <w:r w:rsidR="00A37FC1">
        <w:rPr>
          <w:rFonts w:ascii="Arial" w:hAnsi="Arial" w:cs="Arial"/>
        </w:rPr>
        <w:t>DoJ</w:t>
      </w:r>
      <w:r w:rsidRPr="00FE0C81">
        <w:rPr>
          <w:rFonts w:ascii="Arial" w:hAnsi="Arial" w:cs="Arial"/>
        </w:rPr>
        <w:t xml:space="preserve">, </w:t>
      </w:r>
      <w:r w:rsidR="00BC2E57">
        <w:rPr>
          <w:rFonts w:ascii="Arial" w:hAnsi="Arial" w:cs="Arial"/>
        </w:rPr>
        <w:t xml:space="preserve">stakeholders </w:t>
      </w:r>
      <w:r w:rsidRPr="00FE0C81">
        <w:rPr>
          <w:rFonts w:ascii="Arial" w:hAnsi="Arial" w:cs="Arial"/>
        </w:rPr>
        <w:t xml:space="preserve">have suggested that the fee payable to Counsel for </w:t>
      </w:r>
      <w:r w:rsidRPr="001E3D42">
        <w:rPr>
          <w:rFonts w:ascii="Arial" w:hAnsi="Arial" w:cs="Arial"/>
          <w:b/>
          <w:u w:val="single"/>
        </w:rPr>
        <w:t>appeals against sentence to the County Court</w:t>
      </w:r>
      <w:r w:rsidRPr="00FE0C81">
        <w:rPr>
          <w:rFonts w:ascii="Arial" w:hAnsi="Arial" w:cs="Arial"/>
        </w:rPr>
        <w:t xml:space="preserve"> under the 2009 Rules does not adequately reflect the amount of time and skill required to complete this work, particularly those involving a client with a long criminal record.  </w:t>
      </w:r>
    </w:p>
    <w:p w:rsidR="000810D2" w:rsidRPr="00F67B38" w:rsidRDefault="00FC05A8" w:rsidP="00F67B38">
      <w:pPr>
        <w:numPr>
          <w:ilvl w:val="1"/>
          <w:numId w:val="2"/>
        </w:numPr>
        <w:autoSpaceDE w:val="0"/>
        <w:autoSpaceDN w:val="0"/>
        <w:adjustRightInd w:val="0"/>
        <w:spacing w:after="240" w:line="360" w:lineRule="auto"/>
        <w:ind w:left="567" w:hanging="567"/>
        <w:jc w:val="both"/>
        <w:rPr>
          <w:rFonts w:ascii="Arial" w:hAnsi="Arial" w:cs="Arial"/>
          <w:b/>
        </w:rPr>
      </w:pPr>
      <w:r w:rsidRPr="00C95EB9">
        <w:rPr>
          <w:rFonts w:ascii="Arial" w:hAnsi="Arial" w:cs="Arial"/>
        </w:rPr>
        <w:t>In particular,</w:t>
      </w:r>
      <w:r w:rsidR="000810D2">
        <w:rPr>
          <w:rFonts w:ascii="Arial" w:hAnsi="Arial" w:cs="Arial"/>
        </w:rPr>
        <w:t xml:space="preserve"> stakeholders have pointed to the difference in the respective fees prescribed for solicitors and counsel in such cases, with </w:t>
      </w:r>
      <w:r w:rsidR="00FE0C81" w:rsidRPr="00C95EB9">
        <w:rPr>
          <w:rFonts w:ascii="Arial" w:hAnsi="Arial" w:cs="Arial"/>
        </w:rPr>
        <w:t>£115 available to Counsel</w:t>
      </w:r>
      <w:r w:rsidR="000810D2">
        <w:rPr>
          <w:rFonts w:ascii="Arial" w:hAnsi="Arial" w:cs="Arial"/>
        </w:rPr>
        <w:t xml:space="preserve"> and £265</w:t>
      </w:r>
      <w:r w:rsidR="00FE0C81" w:rsidRPr="00C95EB9">
        <w:rPr>
          <w:rFonts w:ascii="Arial" w:hAnsi="Arial" w:cs="Arial"/>
        </w:rPr>
        <w:t xml:space="preserve"> available to solicitors</w:t>
      </w:r>
      <w:r w:rsidR="000810D2">
        <w:rPr>
          <w:rFonts w:ascii="Arial" w:hAnsi="Arial" w:cs="Arial"/>
        </w:rPr>
        <w:t xml:space="preserve">.  Representations have been made that this is an area in which </w:t>
      </w:r>
      <w:r w:rsidRPr="00C95EB9">
        <w:rPr>
          <w:rFonts w:ascii="Arial" w:hAnsi="Arial" w:cs="Arial"/>
        </w:rPr>
        <w:t xml:space="preserve">the standard fees </w:t>
      </w:r>
      <w:r w:rsidR="000810D2">
        <w:rPr>
          <w:rFonts w:ascii="Arial" w:hAnsi="Arial" w:cs="Arial"/>
        </w:rPr>
        <w:t xml:space="preserve">do not represent a fair </w:t>
      </w:r>
      <w:r w:rsidRPr="00C95EB9">
        <w:rPr>
          <w:rFonts w:ascii="Arial" w:hAnsi="Arial" w:cs="Arial"/>
        </w:rPr>
        <w:t xml:space="preserve">reflection of the </w:t>
      </w:r>
      <w:r w:rsidR="000810D2">
        <w:rPr>
          <w:rFonts w:ascii="Arial" w:hAnsi="Arial" w:cs="Arial"/>
        </w:rPr>
        <w:t xml:space="preserve">respective roles of the instructed solicitor and counsel or of the </w:t>
      </w:r>
      <w:r w:rsidRPr="00C95EB9">
        <w:rPr>
          <w:rFonts w:ascii="Arial" w:hAnsi="Arial" w:cs="Arial"/>
        </w:rPr>
        <w:t xml:space="preserve">time and skill required </w:t>
      </w:r>
      <w:r w:rsidR="000810D2">
        <w:rPr>
          <w:rFonts w:ascii="Arial" w:hAnsi="Arial" w:cs="Arial"/>
        </w:rPr>
        <w:t xml:space="preserve">of counsel </w:t>
      </w:r>
      <w:r w:rsidRPr="00C95EB9">
        <w:rPr>
          <w:rFonts w:ascii="Arial" w:hAnsi="Arial" w:cs="Arial"/>
        </w:rPr>
        <w:t>to provide legal representation.</w:t>
      </w:r>
      <w:r w:rsidR="00C95EB9" w:rsidRPr="00C95EB9">
        <w:rPr>
          <w:rFonts w:ascii="Arial" w:hAnsi="Arial" w:cs="Arial"/>
        </w:rPr>
        <w:t xml:space="preserve"> </w:t>
      </w:r>
    </w:p>
    <w:p w:rsidR="00FE0C81" w:rsidRPr="00C95EB9" w:rsidRDefault="000810D2" w:rsidP="00F67B38">
      <w:pPr>
        <w:numPr>
          <w:ilvl w:val="1"/>
          <w:numId w:val="2"/>
        </w:numPr>
        <w:autoSpaceDE w:val="0"/>
        <w:autoSpaceDN w:val="0"/>
        <w:adjustRightInd w:val="0"/>
        <w:spacing w:after="240" w:line="360" w:lineRule="auto"/>
        <w:ind w:left="567" w:hanging="567"/>
        <w:jc w:val="both"/>
        <w:rPr>
          <w:rFonts w:ascii="Arial" w:hAnsi="Arial" w:cs="Arial"/>
          <w:b/>
        </w:rPr>
      </w:pPr>
      <w:r>
        <w:rPr>
          <w:rFonts w:ascii="Arial" w:hAnsi="Arial" w:cs="Arial"/>
        </w:rPr>
        <w:t xml:space="preserve">Having considered the representations and arguments advanced by stakeholders and having considered the nature of the cases, </w:t>
      </w:r>
      <w:r w:rsidR="00F0568A" w:rsidRPr="00580936">
        <w:rPr>
          <w:rFonts w:ascii="Arial" w:hAnsi="Arial" w:cs="Arial"/>
          <w:b/>
        </w:rPr>
        <w:t>t</w:t>
      </w:r>
      <w:r w:rsidR="00FE0C81" w:rsidRPr="00580936">
        <w:rPr>
          <w:rFonts w:ascii="Arial" w:hAnsi="Arial" w:cs="Arial"/>
          <w:b/>
        </w:rPr>
        <w:t xml:space="preserve">he </w:t>
      </w:r>
      <w:r w:rsidR="00A37FC1" w:rsidRPr="00580936">
        <w:rPr>
          <w:rFonts w:ascii="Arial" w:hAnsi="Arial" w:cs="Arial"/>
          <w:b/>
        </w:rPr>
        <w:t>DoJ</w:t>
      </w:r>
      <w:r w:rsidR="007D402B" w:rsidRPr="00580936">
        <w:rPr>
          <w:rFonts w:ascii="Arial" w:hAnsi="Arial" w:cs="Arial"/>
          <w:b/>
        </w:rPr>
        <w:t xml:space="preserve"> </w:t>
      </w:r>
      <w:r w:rsidR="00BC716C" w:rsidRPr="00580936">
        <w:rPr>
          <w:rFonts w:ascii="Arial" w:hAnsi="Arial" w:cs="Arial"/>
          <w:b/>
        </w:rPr>
        <w:t xml:space="preserve">is minded to </w:t>
      </w:r>
      <w:r w:rsidRPr="00580936">
        <w:rPr>
          <w:rFonts w:ascii="Arial" w:hAnsi="Arial" w:cs="Arial"/>
          <w:b/>
        </w:rPr>
        <w:t xml:space="preserve">increase </w:t>
      </w:r>
      <w:r w:rsidR="00467348" w:rsidRPr="00580936">
        <w:rPr>
          <w:rFonts w:ascii="Arial" w:hAnsi="Arial" w:cs="Arial"/>
          <w:b/>
        </w:rPr>
        <w:t>the</w:t>
      </w:r>
      <w:r w:rsidR="00BC716C" w:rsidRPr="00580936">
        <w:rPr>
          <w:rFonts w:ascii="Arial" w:hAnsi="Arial" w:cs="Arial"/>
          <w:b/>
        </w:rPr>
        <w:t xml:space="preserve"> fee </w:t>
      </w:r>
      <w:r w:rsidRPr="00580936">
        <w:rPr>
          <w:rFonts w:ascii="Arial" w:hAnsi="Arial" w:cs="Arial"/>
          <w:b/>
        </w:rPr>
        <w:t xml:space="preserve">available to </w:t>
      </w:r>
      <w:r w:rsidR="00BC716C" w:rsidRPr="00580936">
        <w:rPr>
          <w:rFonts w:ascii="Arial" w:hAnsi="Arial" w:cs="Arial"/>
          <w:b/>
        </w:rPr>
        <w:t>Counsel for these proceedings</w:t>
      </w:r>
      <w:r w:rsidR="00467348" w:rsidRPr="00580936">
        <w:rPr>
          <w:rFonts w:ascii="Arial" w:hAnsi="Arial" w:cs="Arial"/>
          <w:b/>
        </w:rPr>
        <w:t xml:space="preserve"> to £230</w:t>
      </w:r>
      <w:r w:rsidR="00BC716C" w:rsidRPr="00580936">
        <w:rPr>
          <w:rFonts w:ascii="Arial" w:hAnsi="Arial" w:cs="Arial"/>
          <w:b/>
        </w:rPr>
        <w:t xml:space="preserve">, and </w:t>
      </w:r>
      <w:r w:rsidR="00FE0C81" w:rsidRPr="00580936">
        <w:rPr>
          <w:rFonts w:ascii="Arial" w:hAnsi="Arial" w:cs="Arial"/>
          <w:b/>
        </w:rPr>
        <w:t xml:space="preserve">would welcome views </w:t>
      </w:r>
      <w:r w:rsidR="00467348" w:rsidRPr="00580936">
        <w:rPr>
          <w:rFonts w:ascii="Arial" w:hAnsi="Arial" w:cs="Arial"/>
          <w:b/>
        </w:rPr>
        <w:t>on this proposal.</w:t>
      </w:r>
    </w:p>
    <w:p w:rsidR="00BC2E57" w:rsidRDefault="00BC2E57" w:rsidP="00F67B38">
      <w:pPr>
        <w:numPr>
          <w:ilvl w:val="1"/>
          <w:numId w:val="2"/>
        </w:numPr>
        <w:autoSpaceDE w:val="0"/>
        <w:autoSpaceDN w:val="0"/>
        <w:adjustRightInd w:val="0"/>
        <w:spacing w:after="240" w:line="360" w:lineRule="auto"/>
        <w:ind w:left="567" w:hanging="567"/>
        <w:jc w:val="both"/>
        <w:rPr>
          <w:rFonts w:ascii="Arial" w:hAnsi="Arial" w:cs="Arial"/>
        </w:rPr>
      </w:pPr>
      <w:r w:rsidRPr="00BC2E57">
        <w:rPr>
          <w:rFonts w:ascii="Arial" w:hAnsi="Arial" w:cs="Arial"/>
        </w:rPr>
        <w:t xml:space="preserve">Stakeholders have also suggested that the fees payable for cases at the magistrates’ court concerning </w:t>
      </w:r>
      <w:r w:rsidRPr="001E3D42">
        <w:rPr>
          <w:rFonts w:ascii="Arial" w:hAnsi="Arial" w:cs="Arial"/>
          <w:b/>
          <w:u w:val="single"/>
        </w:rPr>
        <w:t xml:space="preserve">children charged </w:t>
      </w:r>
      <w:r w:rsidR="002878FB">
        <w:rPr>
          <w:rFonts w:ascii="Arial" w:hAnsi="Arial" w:cs="Arial"/>
          <w:b/>
          <w:u w:val="single"/>
        </w:rPr>
        <w:t xml:space="preserve">with </w:t>
      </w:r>
      <w:r w:rsidRPr="001E3D42">
        <w:rPr>
          <w:rFonts w:ascii="Arial" w:hAnsi="Arial" w:cs="Arial"/>
          <w:b/>
          <w:u w:val="single"/>
        </w:rPr>
        <w:t>indict</w:t>
      </w:r>
      <w:r w:rsidR="002878FB">
        <w:rPr>
          <w:rFonts w:ascii="Arial" w:hAnsi="Arial" w:cs="Arial"/>
          <w:b/>
          <w:u w:val="single"/>
        </w:rPr>
        <w:t>a</w:t>
      </w:r>
      <w:r w:rsidRPr="001E3D42">
        <w:rPr>
          <w:rFonts w:ascii="Arial" w:hAnsi="Arial" w:cs="Arial"/>
          <w:b/>
          <w:u w:val="single"/>
        </w:rPr>
        <w:t>ble only offences</w:t>
      </w:r>
      <w:r w:rsidRPr="001E3D42">
        <w:rPr>
          <w:rFonts w:ascii="Arial" w:hAnsi="Arial" w:cs="Arial"/>
        </w:rPr>
        <w:t xml:space="preserve"> </w:t>
      </w:r>
      <w:r w:rsidRPr="00C27A02">
        <w:rPr>
          <w:rFonts w:ascii="Arial" w:hAnsi="Arial" w:cs="Arial"/>
        </w:rPr>
        <w:t>do not adequately reflect the added complexity of representing</w:t>
      </w:r>
      <w:r>
        <w:rPr>
          <w:rFonts w:ascii="Arial" w:hAnsi="Arial" w:cs="Arial"/>
        </w:rPr>
        <w:t xml:space="preserve"> these clients in particular and younger clients generally, </w:t>
      </w:r>
      <w:r w:rsidRPr="00BC2E57">
        <w:rPr>
          <w:rFonts w:ascii="Arial" w:hAnsi="Arial" w:cs="Arial"/>
        </w:rPr>
        <w:t xml:space="preserve">given the added vulnerability of the individuals involved.  </w:t>
      </w:r>
      <w:r>
        <w:rPr>
          <w:rFonts w:ascii="Arial" w:hAnsi="Arial" w:cs="Arial"/>
        </w:rPr>
        <w:t xml:space="preserve">Furthermore, it has been suggested </w:t>
      </w:r>
      <w:r w:rsidRPr="00BC2E57">
        <w:rPr>
          <w:rFonts w:ascii="Arial" w:hAnsi="Arial" w:cs="Arial"/>
        </w:rPr>
        <w:t xml:space="preserve">that the level of fees </w:t>
      </w:r>
      <w:r w:rsidR="00BC716C">
        <w:rPr>
          <w:rFonts w:ascii="Arial" w:hAnsi="Arial" w:cs="Arial"/>
        </w:rPr>
        <w:t xml:space="preserve">in </w:t>
      </w:r>
      <w:r w:rsidRPr="00BC2E57">
        <w:rPr>
          <w:rFonts w:ascii="Arial" w:hAnsi="Arial" w:cs="Arial"/>
        </w:rPr>
        <w:t>the 2009 Rules fails to recognise the additional work that these more serious cases entail</w:t>
      </w:r>
      <w:r>
        <w:rPr>
          <w:rFonts w:ascii="Arial" w:hAnsi="Arial" w:cs="Arial"/>
        </w:rPr>
        <w:t>,</w:t>
      </w:r>
      <w:r w:rsidRPr="00BC2E57">
        <w:rPr>
          <w:rFonts w:ascii="Arial" w:hAnsi="Arial" w:cs="Arial"/>
        </w:rPr>
        <w:t xml:space="preserve"> and that the court has the same sentencing powers as the Crown Court.  </w:t>
      </w:r>
      <w:r>
        <w:rPr>
          <w:rFonts w:ascii="Arial" w:hAnsi="Arial" w:cs="Arial"/>
        </w:rPr>
        <w:t xml:space="preserve"> </w:t>
      </w:r>
      <w:r w:rsidR="006E5167">
        <w:rPr>
          <w:rFonts w:ascii="Arial" w:hAnsi="Arial" w:cs="Arial"/>
        </w:rPr>
        <w:t>However, a review of the existing arrangements demonstrated that w</w:t>
      </w:r>
      <w:r w:rsidR="00BC716C">
        <w:rPr>
          <w:rFonts w:ascii="Arial" w:hAnsi="Arial" w:cs="Arial"/>
        </w:rPr>
        <w:t>hen the fees within the 2009 Rule</w:t>
      </w:r>
      <w:r w:rsidR="00AF5CDC">
        <w:rPr>
          <w:rFonts w:ascii="Arial" w:hAnsi="Arial" w:cs="Arial"/>
        </w:rPr>
        <w:t>s</w:t>
      </w:r>
      <w:r w:rsidR="00BC716C">
        <w:rPr>
          <w:rFonts w:ascii="Arial" w:hAnsi="Arial" w:cs="Arial"/>
        </w:rPr>
        <w:t xml:space="preserve"> were set in respect of youth indictable cases, these issues were </w:t>
      </w:r>
      <w:r w:rsidR="006E5167">
        <w:rPr>
          <w:rFonts w:ascii="Arial" w:hAnsi="Arial" w:cs="Arial"/>
        </w:rPr>
        <w:t xml:space="preserve">fully </w:t>
      </w:r>
      <w:r w:rsidR="00BC716C">
        <w:rPr>
          <w:rFonts w:ascii="Arial" w:hAnsi="Arial" w:cs="Arial"/>
        </w:rPr>
        <w:t>taken into account</w:t>
      </w:r>
      <w:r w:rsidR="006E5167">
        <w:rPr>
          <w:rFonts w:ascii="Arial" w:hAnsi="Arial" w:cs="Arial"/>
        </w:rPr>
        <w:t xml:space="preserve">. This included a recognition that the Youth Court is intended to be a very different experience compared with the Crown Court.  Therefore, while the sentencing powers may be the same, the arrangements are very different.  As a </w:t>
      </w:r>
      <w:r w:rsidR="00BC716C">
        <w:rPr>
          <w:rFonts w:ascii="Arial" w:hAnsi="Arial" w:cs="Arial"/>
        </w:rPr>
        <w:t xml:space="preserve">result a higher rate of remuneration </w:t>
      </w:r>
      <w:r w:rsidR="006E5167">
        <w:rPr>
          <w:rFonts w:ascii="Arial" w:hAnsi="Arial" w:cs="Arial"/>
        </w:rPr>
        <w:t xml:space="preserve">was set </w:t>
      </w:r>
      <w:r w:rsidR="00BC716C">
        <w:rPr>
          <w:rFonts w:ascii="Arial" w:hAnsi="Arial" w:cs="Arial"/>
        </w:rPr>
        <w:t>for such cases</w:t>
      </w:r>
      <w:r w:rsidR="006E5167">
        <w:rPr>
          <w:rFonts w:ascii="Arial" w:hAnsi="Arial" w:cs="Arial"/>
        </w:rPr>
        <w:t xml:space="preserve"> to reflect the additional work required beyond other case types at this court tier.  Consequently, in the absence of compelling evidence to the contrary, the DoJ considers that further enhancement to this class of fees is not appropriate at this time</w:t>
      </w:r>
      <w:r w:rsidR="00BC716C">
        <w:rPr>
          <w:rFonts w:ascii="Arial" w:hAnsi="Arial" w:cs="Arial"/>
        </w:rPr>
        <w:t xml:space="preserve">. </w:t>
      </w:r>
    </w:p>
    <w:p w:rsidR="00FC05A8" w:rsidRPr="00BC2E57" w:rsidRDefault="00FC05A8" w:rsidP="00F67B38">
      <w:pPr>
        <w:numPr>
          <w:ilvl w:val="1"/>
          <w:numId w:val="2"/>
        </w:numPr>
        <w:autoSpaceDE w:val="0"/>
        <w:autoSpaceDN w:val="0"/>
        <w:adjustRightInd w:val="0"/>
        <w:spacing w:after="240" w:line="360" w:lineRule="auto"/>
        <w:ind w:left="567" w:hanging="567"/>
        <w:jc w:val="both"/>
        <w:rPr>
          <w:rFonts w:ascii="Arial" w:hAnsi="Arial" w:cs="Arial"/>
        </w:rPr>
      </w:pPr>
      <w:r w:rsidRPr="00FE0C81">
        <w:rPr>
          <w:rFonts w:ascii="Arial" w:hAnsi="Arial" w:cs="Arial"/>
          <w:b/>
        </w:rPr>
        <w:t xml:space="preserve">The </w:t>
      </w:r>
      <w:r w:rsidR="00A37FC1">
        <w:rPr>
          <w:rFonts w:ascii="Arial" w:hAnsi="Arial" w:cs="Arial"/>
          <w:b/>
        </w:rPr>
        <w:t>DoJ</w:t>
      </w:r>
      <w:r>
        <w:rPr>
          <w:rFonts w:ascii="Arial" w:hAnsi="Arial" w:cs="Arial"/>
          <w:b/>
        </w:rPr>
        <w:t xml:space="preserve"> </w:t>
      </w:r>
      <w:r w:rsidRPr="00FE0C81">
        <w:rPr>
          <w:rFonts w:ascii="Arial" w:hAnsi="Arial" w:cs="Arial"/>
          <w:b/>
        </w:rPr>
        <w:t xml:space="preserve">would welcome views from stakeholders regarding the </w:t>
      </w:r>
      <w:r>
        <w:rPr>
          <w:rFonts w:ascii="Arial" w:hAnsi="Arial" w:cs="Arial"/>
          <w:b/>
        </w:rPr>
        <w:t xml:space="preserve">existing standard fees payable for </w:t>
      </w:r>
      <w:r w:rsidRPr="00FC05A8">
        <w:rPr>
          <w:rFonts w:ascii="Arial" w:hAnsi="Arial" w:cs="Arial"/>
          <w:b/>
        </w:rPr>
        <w:t xml:space="preserve">cases at the magistrates’ court concerning children charged </w:t>
      </w:r>
      <w:r w:rsidR="00753257">
        <w:rPr>
          <w:rFonts w:ascii="Arial" w:hAnsi="Arial" w:cs="Arial"/>
          <w:b/>
        </w:rPr>
        <w:t xml:space="preserve">with </w:t>
      </w:r>
      <w:r w:rsidRPr="00FC05A8">
        <w:rPr>
          <w:rFonts w:ascii="Arial" w:hAnsi="Arial" w:cs="Arial"/>
          <w:b/>
        </w:rPr>
        <w:t>indictable only offences.</w:t>
      </w:r>
    </w:p>
    <w:p w:rsidR="003669F7" w:rsidRDefault="003669F7" w:rsidP="00F67B38">
      <w:pPr>
        <w:numPr>
          <w:ilvl w:val="1"/>
          <w:numId w:val="2"/>
        </w:numPr>
        <w:autoSpaceDE w:val="0"/>
        <w:autoSpaceDN w:val="0"/>
        <w:adjustRightInd w:val="0"/>
        <w:spacing w:after="240" w:line="360" w:lineRule="auto"/>
        <w:ind w:left="567" w:hanging="567"/>
        <w:jc w:val="both"/>
        <w:rPr>
          <w:rFonts w:ascii="Arial" w:hAnsi="Arial" w:cs="Arial"/>
        </w:rPr>
      </w:pPr>
      <w:r>
        <w:rPr>
          <w:rFonts w:ascii="Arial" w:hAnsi="Arial" w:cs="Arial"/>
        </w:rPr>
        <w:t>S</w:t>
      </w:r>
      <w:r w:rsidR="007D402B" w:rsidRPr="00BC2E57">
        <w:rPr>
          <w:rFonts w:ascii="Arial" w:hAnsi="Arial" w:cs="Arial"/>
        </w:rPr>
        <w:t xml:space="preserve">takeholders have </w:t>
      </w:r>
      <w:r>
        <w:rPr>
          <w:rFonts w:ascii="Arial" w:hAnsi="Arial" w:cs="Arial"/>
        </w:rPr>
        <w:t xml:space="preserve">also </w:t>
      </w:r>
      <w:r w:rsidR="0022749D">
        <w:rPr>
          <w:rFonts w:ascii="Arial" w:hAnsi="Arial" w:cs="Arial"/>
        </w:rPr>
        <w:t>highlighted</w:t>
      </w:r>
      <w:r w:rsidR="00117307" w:rsidRPr="00BC2E57">
        <w:rPr>
          <w:rFonts w:ascii="Arial" w:hAnsi="Arial" w:cs="Arial"/>
        </w:rPr>
        <w:t xml:space="preserve"> </w:t>
      </w:r>
      <w:r w:rsidR="007D402B" w:rsidRPr="00BC2E57">
        <w:rPr>
          <w:rFonts w:ascii="Arial" w:hAnsi="Arial" w:cs="Arial"/>
        </w:rPr>
        <w:t xml:space="preserve">the </w:t>
      </w:r>
      <w:r w:rsidR="00117307">
        <w:rPr>
          <w:rFonts w:ascii="Arial" w:hAnsi="Arial" w:cs="Arial"/>
        </w:rPr>
        <w:t>extension</w:t>
      </w:r>
      <w:r w:rsidR="0022749D">
        <w:rPr>
          <w:rFonts w:ascii="Arial" w:hAnsi="Arial" w:cs="Arial"/>
        </w:rPr>
        <w:t xml:space="preserve">, in April 2017, </w:t>
      </w:r>
      <w:r w:rsidR="00117307">
        <w:rPr>
          <w:rFonts w:ascii="Arial" w:hAnsi="Arial" w:cs="Arial"/>
        </w:rPr>
        <w:t xml:space="preserve">of </w:t>
      </w:r>
      <w:r w:rsidR="007D402B" w:rsidRPr="00BC2E57">
        <w:rPr>
          <w:rFonts w:ascii="Arial" w:hAnsi="Arial" w:cs="Arial"/>
        </w:rPr>
        <w:t xml:space="preserve">the </w:t>
      </w:r>
      <w:r w:rsidR="007D402B" w:rsidRPr="001E3D42">
        <w:rPr>
          <w:rFonts w:ascii="Arial" w:hAnsi="Arial" w:cs="Arial"/>
          <w:b/>
          <w:u w:val="single"/>
        </w:rPr>
        <w:t xml:space="preserve">Registered Intermediaries </w:t>
      </w:r>
      <w:r w:rsidR="0022749D" w:rsidRPr="001E3D42">
        <w:rPr>
          <w:rFonts w:ascii="Arial" w:hAnsi="Arial" w:cs="Arial"/>
          <w:b/>
          <w:u w:val="single"/>
        </w:rPr>
        <w:t>S</w:t>
      </w:r>
      <w:r w:rsidR="007D402B" w:rsidRPr="001E3D42">
        <w:rPr>
          <w:rFonts w:ascii="Arial" w:hAnsi="Arial" w:cs="Arial"/>
          <w:b/>
          <w:u w:val="single"/>
        </w:rPr>
        <w:t>cheme</w:t>
      </w:r>
      <w:r w:rsidR="0022749D" w:rsidRPr="00E323C0">
        <w:rPr>
          <w:rStyle w:val="FootnoteReference"/>
          <w:rFonts w:ascii="Arial" w:hAnsi="Arial" w:cs="Arial"/>
          <w:b/>
        </w:rPr>
        <w:footnoteReference w:id="4"/>
      </w:r>
      <w:r w:rsidR="007D402B" w:rsidRPr="00BC2E57">
        <w:rPr>
          <w:rFonts w:ascii="Arial" w:hAnsi="Arial" w:cs="Arial"/>
        </w:rPr>
        <w:t xml:space="preserve"> to </w:t>
      </w:r>
      <w:r w:rsidR="00117307">
        <w:rPr>
          <w:rFonts w:ascii="Arial" w:hAnsi="Arial" w:cs="Arial"/>
        </w:rPr>
        <w:t xml:space="preserve">all cases being heard in </w:t>
      </w:r>
      <w:r w:rsidR="007D402B" w:rsidRPr="00BC2E57">
        <w:rPr>
          <w:rFonts w:ascii="Arial" w:hAnsi="Arial" w:cs="Arial"/>
        </w:rPr>
        <w:t>the magistrates’ courts</w:t>
      </w:r>
      <w:r w:rsidR="00117307">
        <w:rPr>
          <w:rFonts w:ascii="Arial" w:hAnsi="Arial" w:cs="Arial"/>
        </w:rPr>
        <w:t xml:space="preserve"> (adult and youth cases)</w:t>
      </w:r>
      <w:r w:rsidR="007D402B" w:rsidRPr="00BC2E57">
        <w:rPr>
          <w:rFonts w:ascii="Arial" w:hAnsi="Arial" w:cs="Arial"/>
        </w:rPr>
        <w:t>.</w:t>
      </w:r>
      <w:r w:rsidR="00FC05A8">
        <w:rPr>
          <w:rFonts w:ascii="Arial" w:hAnsi="Arial" w:cs="Arial"/>
        </w:rPr>
        <w:t xml:space="preserve">  It has been suggested that the standard fees in the 2009 Rules do not take </w:t>
      </w:r>
      <w:r w:rsidR="00117307">
        <w:rPr>
          <w:rFonts w:ascii="Arial" w:hAnsi="Arial" w:cs="Arial"/>
        </w:rPr>
        <w:t xml:space="preserve">sufficient </w:t>
      </w:r>
      <w:r w:rsidR="00FC05A8">
        <w:rPr>
          <w:rFonts w:ascii="Arial" w:hAnsi="Arial" w:cs="Arial"/>
        </w:rPr>
        <w:t xml:space="preserve">account of </w:t>
      </w:r>
      <w:r w:rsidR="00D701C2">
        <w:rPr>
          <w:rFonts w:ascii="Arial" w:hAnsi="Arial" w:cs="Arial"/>
        </w:rPr>
        <w:t>any</w:t>
      </w:r>
      <w:r w:rsidR="0022749D">
        <w:rPr>
          <w:rFonts w:ascii="Arial" w:hAnsi="Arial" w:cs="Arial"/>
        </w:rPr>
        <w:t xml:space="preserve"> additional work </w:t>
      </w:r>
      <w:r w:rsidR="00D701C2">
        <w:rPr>
          <w:rFonts w:ascii="Arial" w:hAnsi="Arial" w:cs="Arial"/>
        </w:rPr>
        <w:t xml:space="preserve">which may </w:t>
      </w:r>
      <w:r w:rsidR="00D5246C">
        <w:rPr>
          <w:rFonts w:ascii="Arial" w:hAnsi="Arial" w:cs="Arial"/>
        </w:rPr>
        <w:t xml:space="preserve">be </w:t>
      </w:r>
      <w:r w:rsidR="00D701C2">
        <w:rPr>
          <w:rFonts w:ascii="Arial" w:hAnsi="Arial" w:cs="Arial"/>
        </w:rPr>
        <w:t>create</w:t>
      </w:r>
      <w:r w:rsidR="00D5246C">
        <w:rPr>
          <w:rFonts w:ascii="Arial" w:hAnsi="Arial" w:cs="Arial"/>
        </w:rPr>
        <w:t>d</w:t>
      </w:r>
      <w:r w:rsidR="00FC05A8">
        <w:rPr>
          <w:rFonts w:ascii="Arial" w:hAnsi="Arial" w:cs="Arial"/>
        </w:rPr>
        <w:t xml:space="preserve"> </w:t>
      </w:r>
      <w:r w:rsidR="0022749D">
        <w:rPr>
          <w:rFonts w:ascii="Arial" w:hAnsi="Arial" w:cs="Arial"/>
        </w:rPr>
        <w:t xml:space="preserve">due to </w:t>
      </w:r>
      <w:r w:rsidR="00FC05A8">
        <w:rPr>
          <w:rFonts w:ascii="Arial" w:hAnsi="Arial" w:cs="Arial"/>
        </w:rPr>
        <w:t>the involvement of registered intermediaries, and</w:t>
      </w:r>
      <w:r w:rsidR="00D5246C">
        <w:rPr>
          <w:rFonts w:ascii="Arial" w:hAnsi="Arial" w:cs="Arial"/>
        </w:rPr>
        <w:t>/or</w:t>
      </w:r>
      <w:r w:rsidR="00FC05A8">
        <w:rPr>
          <w:rFonts w:ascii="Arial" w:hAnsi="Arial" w:cs="Arial"/>
        </w:rPr>
        <w:t xml:space="preserve"> </w:t>
      </w:r>
      <w:r w:rsidR="00D701C2">
        <w:rPr>
          <w:rFonts w:ascii="Arial" w:hAnsi="Arial" w:cs="Arial"/>
        </w:rPr>
        <w:t xml:space="preserve">any </w:t>
      </w:r>
      <w:r w:rsidR="00FC05A8">
        <w:rPr>
          <w:rFonts w:ascii="Arial" w:hAnsi="Arial" w:cs="Arial"/>
        </w:rPr>
        <w:t xml:space="preserve">additional time required to </w:t>
      </w:r>
      <w:r w:rsidR="0022749D">
        <w:rPr>
          <w:rFonts w:ascii="Arial" w:hAnsi="Arial" w:cs="Arial"/>
        </w:rPr>
        <w:t xml:space="preserve">prepare for and </w:t>
      </w:r>
      <w:r w:rsidR="00FC05A8">
        <w:rPr>
          <w:rFonts w:ascii="Arial" w:hAnsi="Arial" w:cs="Arial"/>
        </w:rPr>
        <w:t xml:space="preserve">conduct the case.  </w:t>
      </w:r>
    </w:p>
    <w:p w:rsidR="003669F7" w:rsidRDefault="00D701C2" w:rsidP="00F67B38">
      <w:pPr>
        <w:numPr>
          <w:ilvl w:val="1"/>
          <w:numId w:val="2"/>
        </w:numPr>
        <w:autoSpaceDE w:val="0"/>
        <w:autoSpaceDN w:val="0"/>
        <w:adjustRightInd w:val="0"/>
        <w:spacing w:after="240" w:line="360" w:lineRule="auto"/>
        <w:ind w:left="567" w:hanging="567"/>
        <w:jc w:val="both"/>
        <w:rPr>
          <w:rFonts w:ascii="Arial" w:hAnsi="Arial" w:cs="Arial"/>
        </w:rPr>
      </w:pPr>
      <w:r>
        <w:rPr>
          <w:rFonts w:ascii="Arial" w:hAnsi="Arial" w:cs="Arial"/>
        </w:rPr>
        <w:t>In particular, t</w:t>
      </w:r>
      <w:r w:rsidR="0022749D">
        <w:rPr>
          <w:rFonts w:ascii="Arial" w:hAnsi="Arial" w:cs="Arial"/>
        </w:rPr>
        <w:t xml:space="preserve">here is currently no provision </w:t>
      </w:r>
      <w:r>
        <w:rPr>
          <w:rFonts w:ascii="Arial" w:hAnsi="Arial" w:cs="Arial"/>
        </w:rPr>
        <w:t xml:space="preserve">in the 2009 Rules </w:t>
      </w:r>
      <w:r w:rsidR="0022749D">
        <w:rPr>
          <w:rFonts w:ascii="Arial" w:hAnsi="Arial" w:cs="Arial"/>
        </w:rPr>
        <w:t>for</w:t>
      </w:r>
      <w:r w:rsidR="003669F7">
        <w:rPr>
          <w:rFonts w:ascii="Arial" w:hAnsi="Arial" w:cs="Arial"/>
        </w:rPr>
        <w:t>:</w:t>
      </w:r>
    </w:p>
    <w:p w:rsidR="003669F7" w:rsidRDefault="003669F7" w:rsidP="00F67B38">
      <w:pPr>
        <w:numPr>
          <w:ilvl w:val="2"/>
          <w:numId w:val="2"/>
        </w:numPr>
        <w:autoSpaceDE w:val="0"/>
        <w:autoSpaceDN w:val="0"/>
        <w:adjustRightInd w:val="0"/>
        <w:spacing w:after="240" w:line="360" w:lineRule="auto"/>
        <w:jc w:val="both"/>
        <w:rPr>
          <w:rFonts w:ascii="Arial" w:hAnsi="Arial" w:cs="Arial"/>
        </w:rPr>
      </w:pPr>
      <w:r>
        <w:rPr>
          <w:rFonts w:ascii="Arial" w:hAnsi="Arial" w:cs="Arial"/>
        </w:rPr>
        <w:t xml:space="preserve">the hearing of an application for examination of a witness through intermediary </w:t>
      </w:r>
      <w:r w:rsidRPr="003669F7">
        <w:rPr>
          <w:rFonts w:ascii="Arial" w:hAnsi="Arial" w:cs="Arial"/>
        </w:rPr>
        <w:t>under Article 17</w:t>
      </w:r>
      <w:r>
        <w:rPr>
          <w:rFonts w:ascii="Arial" w:hAnsi="Arial" w:cs="Arial"/>
        </w:rPr>
        <w:t>, or examination of the accused through intermediary under Article 21BA,</w:t>
      </w:r>
      <w:r w:rsidRPr="003669F7">
        <w:rPr>
          <w:rFonts w:ascii="Arial" w:hAnsi="Arial" w:cs="Arial"/>
        </w:rPr>
        <w:t xml:space="preserve"> of the Criminal Evidenc</w:t>
      </w:r>
      <w:r>
        <w:rPr>
          <w:rFonts w:ascii="Arial" w:hAnsi="Arial" w:cs="Arial"/>
        </w:rPr>
        <w:t>e (Northern Ireland) Order 1999; and</w:t>
      </w:r>
      <w:r w:rsidRPr="003669F7">
        <w:rPr>
          <w:rFonts w:ascii="Arial" w:hAnsi="Arial" w:cs="Arial"/>
        </w:rPr>
        <w:t xml:space="preserve">  </w:t>
      </w:r>
      <w:r>
        <w:rPr>
          <w:rFonts w:ascii="Arial" w:hAnsi="Arial" w:cs="Arial"/>
        </w:rPr>
        <w:t xml:space="preserve"> </w:t>
      </w:r>
      <w:r w:rsidR="0022749D">
        <w:rPr>
          <w:rFonts w:ascii="Arial" w:hAnsi="Arial" w:cs="Arial"/>
        </w:rPr>
        <w:t xml:space="preserve"> </w:t>
      </w:r>
    </w:p>
    <w:p w:rsidR="00F52130" w:rsidRDefault="0022749D" w:rsidP="00F67B38">
      <w:pPr>
        <w:numPr>
          <w:ilvl w:val="2"/>
          <w:numId w:val="2"/>
        </w:numPr>
        <w:autoSpaceDE w:val="0"/>
        <w:autoSpaceDN w:val="0"/>
        <w:adjustRightInd w:val="0"/>
        <w:spacing w:after="240" w:line="360" w:lineRule="auto"/>
        <w:jc w:val="both"/>
        <w:rPr>
          <w:rFonts w:ascii="Arial" w:hAnsi="Arial" w:cs="Arial"/>
        </w:rPr>
      </w:pPr>
      <w:r>
        <w:rPr>
          <w:rFonts w:ascii="Arial" w:hAnsi="Arial" w:cs="Arial"/>
        </w:rPr>
        <w:t xml:space="preserve">a specific fee for the </w:t>
      </w:r>
      <w:r w:rsidR="00D5246C">
        <w:rPr>
          <w:rFonts w:ascii="Arial" w:hAnsi="Arial" w:cs="Arial"/>
        </w:rPr>
        <w:t>G</w:t>
      </w:r>
      <w:r w:rsidR="006B30A5">
        <w:rPr>
          <w:rFonts w:ascii="Arial" w:hAnsi="Arial" w:cs="Arial"/>
        </w:rPr>
        <w:t xml:space="preserve">round </w:t>
      </w:r>
      <w:r w:rsidR="00D5246C">
        <w:rPr>
          <w:rFonts w:ascii="Arial" w:hAnsi="Arial" w:cs="Arial"/>
        </w:rPr>
        <w:t>R</w:t>
      </w:r>
      <w:r w:rsidR="006B30A5">
        <w:rPr>
          <w:rFonts w:ascii="Arial" w:hAnsi="Arial" w:cs="Arial"/>
        </w:rPr>
        <w:t xml:space="preserve">ules </w:t>
      </w:r>
      <w:r w:rsidR="00D5246C">
        <w:rPr>
          <w:rFonts w:ascii="Arial" w:hAnsi="Arial" w:cs="Arial"/>
        </w:rPr>
        <w:t>H</w:t>
      </w:r>
      <w:r w:rsidR="006B30A5">
        <w:rPr>
          <w:rFonts w:ascii="Arial" w:hAnsi="Arial" w:cs="Arial"/>
        </w:rPr>
        <w:t>earing</w:t>
      </w:r>
      <w:r w:rsidR="00D5246C">
        <w:rPr>
          <w:rFonts w:ascii="Arial" w:hAnsi="Arial" w:cs="Arial"/>
        </w:rPr>
        <w:t xml:space="preserve"> (GRH)</w:t>
      </w:r>
      <w:r w:rsidR="006B30A5">
        <w:rPr>
          <w:rFonts w:ascii="Arial" w:hAnsi="Arial" w:cs="Arial"/>
        </w:rPr>
        <w:t xml:space="preserve"> </w:t>
      </w:r>
      <w:r w:rsidR="00D701C2" w:rsidRPr="001E3D42">
        <w:rPr>
          <w:rFonts w:ascii="Arial" w:hAnsi="Arial" w:cs="Arial"/>
        </w:rPr>
        <w:t>in which the trial judge, trial advocates and the Registered Intermediary discuss the RI’s report and its recommendations</w:t>
      </w:r>
      <w:r w:rsidR="00D701C2">
        <w:rPr>
          <w:rFonts w:ascii="Arial" w:hAnsi="Arial" w:cs="Arial"/>
        </w:rPr>
        <w:t xml:space="preserve"> and </w:t>
      </w:r>
      <w:r>
        <w:rPr>
          <w:rFonts w:ascii="Arial" w:hAnsi="Arial" w:cs="Arial"/>
        </w:rPr>
        <w:t xml:space="preserve">agree </w:t>
      </w:r>
      <w:r w:rsidR="00D701C2" w:rsidRPr="001E3D42">
        <w:rPr>
          <w:rFonts w:ascii="Arial" w:hAnsi="Arial" w:cs="Arial"/>
        </w:rPr>
        <w:t>the rules on questioning and other matters which concern the vulnerable person’s evidence.</w:t>
      </w:r>
      <w:r w:rsidR="00753257">
        <w:rPr>
          <w:rFonts w:ascii="Arial" w:hAnsi="Arial" w:cs="Arial"/>
        </w:rPr>
        <w:t xml:space="preserve">  </w:t>
      </w:r>
    </w:p>
    <w:p w:rsidR="00797428" w:rsidRDefault="00753257" w:rsidP="00F67B38">
      <w:pPr>
        <w:numPr>
          <w:ilvl w:val="1"/>
          <w:numId w:val="2"/>
        </w:numPr>
        <w:autoSpaceDE w:val="0"/>
        <w:autoSpaceDN w:val="0"/>
        <w:adjustRightInd w:val="0"/>
        <w:spacing w:after="240" w:line="360" w:lineRule="auto"/>
        <w:ind w:left="567" w:hanging="567"/>
        <w:jc w:val="both"/>
        <w:rPr>
          <w:rFonts w:ascii="Arial" w:hAnsi="Arial" w:cs="Arial"/>
        </w:rPr>
      </w:pPr>
      <w:r>
        <w:rPr>
          <w:rFonts w:ascii="Arial" w:hAnsi="Arial" w:cs="Arial"/>
        </w:rPr>
        <w:t xml:space="preserve">Early experience of the </w:t>
      </w:r>
      <w:r w:rsidR="000C3832">
        <w:rPr>
          <w:rFonts w:ascii="Arial" w:hAnsi="Arial" w:cs="Arial"/>
        </w:rPr>
        <w:t xml:space="preserve">magistrates' court </w:t>
      </w:r>
      <w:r>
        <w:rPr>
          <w:rFonts w:ascii="Arial" w:hAnsi="Arial" w:cs="Arial"/>
        </w:rPr>
        <w:t xml:space="preserve">scheme indicates that in a small number of particularly complex cases the </w:t>
      </w:r>
      <w:r w:rsidR="00F52130">
        <w:rPr>
          <w:rFonts w:ascii="Arial" w:hAnsi="Arial" w:cs="Arial"/>
        </w:rPr>
        <w:t xml:space="preserve">circumstances and </w:t>
      </w:r>
      <w:r>
        <w:rPr>
          <w:rFonts w:ascii="Arial" w:hAnsi="Arial" w:cs="Arial"/>
        </w:rPr>
        <w:t xml:space="preserve">additional preparation required </w:t>
      </w:r>
      <w:r w:rsidR="00C10846">
        <w:rPr>
          <w:rFonts w:ascii="Arial" w:hAnsi="Arial" w:cs="Arial"/>
        </w:rPr>
        <w:t xml:space="preserve">due the involvement of a registered intermediary </w:t>
      </w:r>
      <w:r>
        <w:rPr>
          <w:rFonts w:ascii="Arial" w:hAnsi="Arial" w:cs="Arial"/>
        </w:rPr>
        <w:t xml:space="preserve">may meet the exceptionality criteria and </w:t>
      </w:r>
      <w:r w:rsidR="00F52130">
        <w:rPr>
          <w:rFonts w:ascii="Arial" w:hAnsi="Arial" w:cs="Arial"/>
        </w:rPr>
        <w:t xml:space="preserve">could </w:t>
      </w:r>
      <w:r>
        <w:rPr>
          <w:rFonts w:ascii="Arial" w:hAnsi="Arial" w:cs="Arial"/>
        </w:rPr>
        <w:t>result in a grant of a small number of extra hours.  Also</w:t>
      </w:r>
      <w:r w:rsidR="00E550AE">
        <w:rPr>
          <w:rFonts w:ascii="Arial" w:hAnsi="Arial" w:cs="Arial"/>
        </w:rPr>
        <w:t>,</w:t>
      </w:r>
      <w:r>
        <w:rPr>
          <w:rFonts w:ascii="Arial" w:hAnsi="Arial" w:cs="Arial"/>
        </w:rPr>
        <w:t xml:space="preserve"> that GRHs can be expected to last from less than 15 minutes to, potentially, up to an hour for </w:t>
      </w:r>
      <w:r w:rsidR="000C3832">
        <w:rPr>
          <w:rFonts w:ascii="Arial" w:hAnsi="Arial" w:cs="Arial"/>
        </w:rPr>
        <w:t xml:space="preserve">the </w:t>
      </w:r>
      <w:r w:rsidR="00F52130">
        <w:rPr>
          <w:rFonts w:ascii="Arial" w:hAnsi="Arial" w:cs="Arial"/>
        </w:rPr>
        <w:t>mo</w:t>
      </w:r>
      <w:r w:rsidR="000C3832">
        <w:rPr>
          <w:rFonts w:ascii="Arial" w:hAnsi="Arial" w:cs="Arial"/>
        </w:rPr>
        <w:t>st</w:t>
      </w:r>
      <w:r w:rsidR="00F52130">
        <w:rPr>
          <w:rFonts w:ascii="Arial" w:hAnsi="Arial" w:cs="Arial"/>
        </w:rPr>
        <w:t xml:space="preserve"> </w:t>
      </w:r>
      <w:r>
        <w:rPr>
          <w:rFonts w:ascii="Arial" w:hAnsi="Arial" w:cs="Arial"/>
        </w:rPr>
        <w:t xml:space="preserve">complex cases.  </w:t>
      </w:r>
    </w:p>
    <w:p w:rsidR="003669F7" w:rsidRPr="00443C24" w:rsidRDefault="006B30A5" w:rsidP="00F67B38">
      <w:pPr>
        <w:numPr>
          <w:ilvl w:val="1"/>
          <w:numId w:val="2"/>
        </w:numPr>
        <w:autoSpaceDE w:val="0"/>
        <w:autoSpaceDN w:val="0"/>
        <w:adjustRightInd w:val="0"/>
        <w:spacing w:after="240" w:line="360" w:lineRule="auto"/>
        <w:ind w:left="567" w:hanging="567"/>
        <w:jc w:val="both"/>
        <w:rPr>
          <w:rFonts w:ascii="Arial" w:hAnsi="Arial" w:cs="Arial"/>
        </w:rPr>
      </w:pPr>
      <w:r w:rsidRPr="00FE0C81">
        <w:rPr>
          <w:rFonts w:ascii="Arial" w:hAnsi="Arial" w:cs="Arial"/>
          <w:b/>
        </w:rPr>
        <w:t xml:space="preserve">The </w:t>
      </w:r>
      <w:r w:rsidR="00A37FC1">
        <w:rPr>
          <w:rFonts w:ascii="Arial" w:hAnsi="Arial" w:cs="Arial"/>
          <w:b/>
        </w:rPr>
        <w:t>DoJ</w:t>
      </w:r>
      <w:r w:rsidR="00BC716C">
        <w:rPr>
          <w:rFonts w:ascii="Arial" w:hAnsi="Arial" w:cs="Arial"/>
          <w:b/>
        </w:rPr>
        <w:t xml:space="preserve"> agrees in principle that remuneration arrangements are necessary for the extension of the RI scheme to the magistrates’ court, and work is ongoing with the policy lead to establish an appropriate fee structure.  </w:t>
      </w:r>
      <w:r w:rsidR="006615AD">
        <w:rPr>
          <w:rFonts w:ascii="Arial" w:hAnsi="Arial" w:cs="Arial"/>
          <w:b/>
        </w:rPr>
        <w:t>At this stage</w:t>
      </w:r>
      <w:r w:rsidR="00BC716C">
        <w:rPr>
          <w:rFonts w:ascii="Arial" w:hAnsi="Arial" w:cs="Arial"/>
          <w:b/>
        </w:rPr>
        <w:t>, the DoJ</w:t>
      </w:r>
      <w:r w:rsidR="002E2A86">
        <w:rPr>
          <w:rFonts w:ascii="Arial" w:hAnsi="Arial" w:cs="Arial"/>
          <w:b/>
        </w:rPr>
        <w:t>:</w:t>
      </w:r>
      <w:r>
        <w:rPr>
          <w:rFonts w:ascii="Arial" w:hAnsi="Arial" w:cs="Arial"/>
          <w:b/>
        </w:rPr>
        <w:t xml:space="preserve"> </w:t>
      </w:r>
    </w:p>
    <w:p w:rsidR="003669F7" w:rsidRPr="00443C24" w:rsidRDefault="003669F7" w:rsidP="00F67B38">
      <w:pPr>
        <w:numPr>
          <w:ilvl w:val="2"/>
          <w:numId w:val="2"/>
        </w:numPr>
        <w:autoSpaceDE w:val="0"/>
        <w:autoSpaceDN w:val="0"/>
        <w:adjustRightInd w:val="0"/>
        <w:spacing w:after="240" w:line="360" w:lineRule="auto"/>
        <w:jc w:val="both"/>
        <w:rPr>
          <w:rFonts w:ascii="Arial" w:hAnsi="Arial" w:cs="Arial"/>
        </w:rPr>
      </w:pPr>
      <w:r w:rsidRPr="003669F7">
        <w:rPr>
          <w:rFonts w:ascii="Arial" w:hAnsi="Arial" w:cs="Arial"/>
          <w:b/>
        </w:rPr>
        <w:t xml:space="preserve">proposes that the hearing </w:t>
      </w:r>
      <w:r>
        <w:rPr>
          <w:rFonts w:ascii="Arial" w:hAnsi="Arial" w:cs="Arial"/>
          <w:b/>
        </w:rPr>
        <w:t xml:space="preserve">of applications for witnesses </w:t>
      </w:r>
      <w:r w:rsidRPr="0073794B">
        <w:rPr>
          <w:rFonts w:ascii="Arial" w:hAnsi="Arial" w:cs="Arial"/>
          <w:b/>
        </w:rPr>
        <w:t>or the accused to be examined through intermediary b</w:t>
      </w:r>
      <w:r w:rsidR="00691519">
        <w:rPr>
          <w:rFonts w:ascii="Arial" w:hAnsi="Arial" w:cs="Arial"/>
          <w:b/>
        </w:rPr>
        <w:t>e</w:t>
      </w:r>
      <w:r w:rsidRPr="0073794B">
        <w:rPr>
          <w:rFonts w:ascii="Arial" w:hAnsi="Arial" w:cs="Arial"/>
          <w:b/>
        </w:rPr>
        <w:t xml:space="preserve"> remunerated by way of the fixed application fee of £75 under paragraph 14 of schedule 1 to the 2009 Rules; and</w:t>
      </w:r>
    </w:p>
    <w:p w:rsidR="006B30A5" w:rsidRPr="00443C24" w:rsidRDefault="006B30A5" w:rsidP="00F67B38">
      <w:pPr>
        <w:numPr>
          <w:ilvl w:val="2"/>
          <w:numId w:val="2"/>
        </w:numPr>
        <w:autoSpaceDE w:val="0"/>
        <w:autoSpaceDN w:val="0"/>
        <w:adjustRightInd w:val="0"/>
        <w:spacing w:after="240" w:line="360" w:lineRule="auto"/>
        <w:jc w:val="both"/>
        <w:rPr>
          <w:rFonts w:ascii="Arial" w:hAnsi="Arial" w:cs="Arial"/>
        </w:rPr>
      </w:pPr>
      <w:r w:rsidRPr="00FE0C81">
        <w:rPr>
          <w:rFonts w:ascii="Arial" w:hAnsi="Arial" w:cs="Arial"/>
          <w:b/>
        </w:rPr>
        <w:t xml:space="preserve">would welcome views from stakeholders regarding </w:t>
      </w:r>
      <w:r w:rsidR="00671663">
        <w:rPr>
          <w:rFonts w:ascii="Arial" w:hAnsi="Arial" w:cs="Arial"/>
          <w:b/>
        </w:rPr>
        <w:t xml:space="preserve">the additional work required </w:t>
      </w:r>
      <w:r w:rsidR="00D5246C">
        <w:rPr>
          <w:rFonts w:ascii="Arial" w:hAnsi="Arial" w:cs="Arial"/>
          <w:b/>
        </w:rPr>
        <w:t>in magistrates’ court cases involving</w:t>
      </w:r>
      <w:r>
        <w:rPr>
          <w:rFonts w:ascii="Arial" w:hAnsi="Arial" w:cs="Arial"/>
          <w:b/>
        </w:rPr>
        <w:t xml:space="preserve"> registered intermediar</w:t>
      </w:r>
      <w:r w:rsidR="00D5246C">
        <w:rPr>
          <w:rFonts w:ascii="Arial" w:hAnsi="Arial" w:cs="Arial"/>
          <w:b/>
        </w:rPr>
        <w:t>ies</w:t>
      </w:r>
      <w:r w:rsidR="003669F7">
        <w:rPr>
          <w:rFonts w:ascii="Arial" w:hAnsi="Arial" w:cs="Arial"/>
          <w:b/>
        </w:rPr>
        <w:t>, in particular in respect of Ground Rules Hearings.</w:t>
      </w:r>
      <w:r w:rsidR="00D5246C">
        <w:rPr>
          <w:rFonts w:ascii="Arial" w:hAnsi="Arial" w:cs="Arial"/>
          <w:b/>
        </w:rPr>
        <w:t xml:space="preserve"> </w:t>
      </w:r>
      <w:r w:rsidR="00F0568A">
        <w:rPr>
          <w:rFonts w:ascii="Arial" w:hAnsi="Arial" w:cs="Arial"/>
          <w:b/>
        </w:rPr>
        <w:t xml:space="preserve"> </w:t>
      </w:r>
      <w:r>
        <w:rPr>
          <w:rFonts w:ascii="Arial" w:hAnsi="Arial" w:cs="Arial"/>
          <w:b/>
        </w:rPr>
        <w:t xml:space="preserve"> </w:t>
      </w:r>
    </w:p>
    <w:p w:rsidR="003669F7" w:rsidRPr="003669F7" w:rsidRDefault="003669F7" w:rsidP="00526B9C">
      <w:pPr>
        <w:numPr>
          <w:ilvl w:val="1"/>
          <w:numId w:val="2"/>
        </w:numPr>
        <w:autoSpaceDE w:val="0"/>
        <w:autoSpaceDN w:val="0"/>
        <w:adjustRightInd w:val="0"/>
        <w:spacing w:after="240" w:line="360" w:lineRule="auto"/>
        <w:ind w:left="567" w:hanging="567"/>
        <w:jc w:val="both"/>
        <w:rPr>
          <w:rFonts w:ascii="Arial" w:hAnsi="Arial" w:cs="Arial"/>
        </w:rPr>
      </w:pPr>
      <w:r w:rsidRPr="00443C24">
        <w:rPr>
          <w:rFonts w:ascii="Arial" w:hAnsi="Arial" w:cs="Arial"/>
        </w:rPr>
        <w:t>Finally in respect of time and skill,</w:t>
      </w:r>
      <w:r>
        <w:rPr>
          <w:rFonts w:ascii="Arial" w:hAnsi="Arial" w:cs="Arial"/>
        </w:rPr>
        <w:t xml:space="preserve"> </w:t>
      </w:r>
      <w:r w:rsidR="00C1511C">
        <w:rPr>
          <w:rFonts w:ascii="Arial" w:hAnsi="Arial" w:cs="Arial"/>
        </w:rPr>
        <w:t xml:space="preserve">some stakeholders have also suggested that </w:t>
      </w:r>
      <w:r w:rsidRPr="00946A3F">
        <w:rPr>
          <w:rFonts w:ascii="Arial" w:hAnsi="Arial" w:cs="Arial"/>
          <w:b/>
          <w:u w:val="single"/>
        </w:rPr>
        <w:t>Newton Hearings</w:t>
      </w:r>
      <w:r w:rsidR="00C1511C">
        <w:rPr>
          <w:rFonts w:ascii="Arial" w:hAnsi="Arial" w:cs="Arial"/>
          <w:b/>
        </w:rPr>
        <w:t xml:space="preserve"> </w:t>
      </w:r>
      <w:r w:rsidR="00C1511C" w:rsidRPr="00C1511C">
        <w:rPr>
          <w:rFonts w:ascii="Arial" w:hAnsi="Arial" w:cs="Arial"/>
        </w:rPr>
        <w:t xml:space="preserve">in the </w:t>
      </w:r>
      <w:r w:rsidR="00C1511C" w:rsidRPr="00443C24">
        <w:rPr>
          <w:rFonts w:ascii="Arial" w:hAnsi="Arial" w:cs="Arial"/>
        </w:rPr>
        <w:t>magistrates’ courts</w:t>
      </w:r>
      <w:r w:rsidR="00C1511C">
        <w:rPr>
          <w:rFonts w:ascii="Arial" w:hAnsi="Arial" w:cs="Arial"/>
          <w:b/>
        </w:rPr>
        <w:t xml:space="preserve"> </w:t>
      </w:r>
      <w:r w:rsidR="00C1511C">
        <w:rPr>
          <w:rFonts w:ascii="Arial" w:hAnsi="Arial" w:cs="Arial"/>
        </w:rPr>
        <w:t xml:space="preserve">should be remunerated by way of a contest fee, similar to the remuneration arrangements at the Crown Court, and that this fee would more accurately reflect the time and skill involved in such a hearing.  Currently under the 2009 Rules, Newton Hearings at the magistrates’ court are remunerated through a 50% uplift on the relevant guilty fee. </w:t>
      </w:r>
      <w:r w:rsidR="00C1511C">
        <w:rPr>
          <w:rFonts w:ascii="Arial" w:hAnsi="Arial" w:cs="Arial"/>
          <w:b/>
        </w:rPr>
        <w:t>The DoJ would therefore welcome views from stakeholders regarding the time and skill involved in providing representation for Newton Hearings at the magistrates’ court.</w:t>
      </w:r>
    </w:p>
    <w:p w:rsidR="00F52130" w:rsidRDefault="00F52130" w:rsidP="00F67B38">
      <w:pPr>
        <w:autoSpaceDE w:val="0"/>
        <w:autoSpaceDN w:val="0"/>
        <w:adjustRightInd w:val="0"/>
        <w:spacing w:after="240" w:line="360" w:lineRule="auto"/>
        <w:ind w:left="567"/>
        <w:jc w:val="both"/>
        <w:rPr>
          <w:rFonts w:ascii="Arial" w:hAnsi="Arial" w:cs="Arial"/>
          <w:b/>
          <w:i/>
        </w:rPr>
      </w:pPr>
    </w:p>
    <w:p w:rsidR="001D3073" w:rsidRPr="001A2487" w:rsidRDefault="001D3073" w:rsidP="00F67B38">
      <w:pPr>
        <w:autoSpaceDE w:val="0"/>
        <w:autoSpaceDN w:val="0"/>
        <w:adjustRightInd w:val="0"/>
        <w:spacing w:after="240" w:line="360" w:lineRule="auto"/>
        <w:ind w:left="567"/>
        <w:jc w:val="both"/>
        <w:rPr>
          <w:rFonts w:ascii="Arial" w:hAnsi="Arial" w:cs="Arial"/>
          <w:b/>
          <w:i/>
        </w:rPr>
      </w:pPr>
      <w:r w:rsidRPr="001A2487">
        <w:rPr>
          <w:rFonts w:ascii="Arial" w:hAnsi="Arial" w:cs="Arial"/>
          <w:b/>
          <w:i/>
        </w:rPr>
        <w:t xml:space="preserve">Number </w:t>
      </w:r>
      <w:r w:rsidR="00D5246C" w:rsidRPr="001A2487">
        <w:rPr>
          <w:rFonts w:ascii="Arial" w:hAnsi="Arial" w:cs="Arial"/>
          <w:b/>
          <w:i/>
        </w:rPr>
        <w:t xml:space="preserve">and </w:t>
      </w:r>
      <w:r w:rsidRPr="001A2487">
        <w:rPr>
          <w:rFonts w:ascii="Arial" w:hAnsi="Arial" w:cs="Arial"/>
          <w:b/>
          <w:i/>
        </w:rPr>
        <w:t>general competence</w:t>
      </w:r>
    </w:p>
    <w:p w:rsidR="00E2648D" w:rsidRDefault="000F29B8" w:rsidP="00F67B38">
      <w:pPr>
        <w:numPr>
          <w:ilvl w:val="1"/>
          <w:numId w:val="2"/>
        </w:numPr>
        <w:autoSpaceDE w:val="0"/>
        <w:autoSpaceDN w:val="0"/>
        <w:adjustRightInd w:val="0"/>
        <w:spacing w:after="240" w:line="360" w:lineRule="auto"/>
        <w:ind w:left="567" w:hanging="567"/>
        <w:jc w:val="both"/>
        <w:rPr>
          <w:rFonts w:ascii="Arial" w:hAnsi="Arial" w:cs="Arial"/>
        </w:rPr>
      </w:pPr>
      <w:r w:rsidRPr="007F336D">
        <w:rPr>
          <w:rFonts w:ascii="Arial" w:hAnsi="Arial" w:cs="Arial"/>
        </w:rPr>
        <w:t>The Law Society of Northern Ireland is a professional body established to regulate the solicitors</w:t>
      </w:r>
      <w:r w:rsidR="00E2648D">
        <w:rPr>
          <w:rFonts w:ascii="Arial" w:hAnsi="Arial" w:cs="Arial"/>
        </w:rPr>
        <w:t>’</w:t>
      </w:r>
      <w:r w:rsidRPr="007F336D">
        <w:rPr>
          <w:rFonts w:ascii="Arial" w:hAnsi="Arial" w:cs="Arial"/>
        </w:rPr>
        <w:t xml:space="preserve"> profession in Northern Ireland and to represent solicitors’ interests.  It represents over 2,600 solicitors working in some 530 firms, based in over 74 geographical locations throughout Northern Ireland and practitioners working in the public sector and in business</w:t>
      </w:r>
      <w:r w:rsidRPr="001A2487">
        <w:rPr>
          <w:rFonts w:ascii="Arial" w:hAnsi="Arial" w:cs="Arial"/>
          <w:b/>
          <w:vertAlign w:val="superscript"/>
        </w:rPr>
        <w:footnoteReference w:id="5"/>
      </w:r>
      <w:r w:rsidRPr="007F336D">
        <w:rPr>
          <w:rFonts w:ascii="Arial" w:hAnsi="Arial" w:cs="Arial"/>
        </w:rPr>
        <w:t>.</w:t>
      </w:r>
      <w:r w:rsidR="007F336D" w:rsidRPr="007F336D">
        <w:rPr>
          <w:rFonts w:ascii="Arial" w:hAnsi="Arial" w:cs="Arial"/>
        </w:rPr>
        <w:t xml:space="preserve">  </w:t>
      </w:r>
    </w:p>
    <w:p w:rsidR="000F29B8" w:rsidRPr="007F336D" w:rsidRDefault="000F29B8" w:rsidP="00F67B38">
      <w:pPr>
        <w:numPr>
          <w:ilvl w:val="1"/>
          <w:numId w:val="2"/>
        </w:numPr>
        <w:autoSpaceDE w:val="0"/>
        <w:autoSpaceDN w:val="0"/>
        <w:adjustRightInd w:val="0"/>
        <w:spacing w:after="240" w:line="360" w:lineRule="auto"/>
        <w:ind w:left="567" w:hanging="567"/>
        <w:jc w:val="both"/>
        <w:rPr>
          <w:rFonts w:ascii="Arial" w:hAnsi="Arial" w:cs="Arial"/>
        </w:rPr>
      </w:pPr>
      <w:r w:rsidRPr="007F336D">
        <w:rPr>
          <w:rFonts w:ascii="Arial" w:hAnsi="Arial" w:cs="Arial"/>
        </w:rPr>
        <w:t>The Bar of Northern Ireland currently has over 600 members</w:t>
      </w:r>
      <w:r w:rsidRPr="001A2487">
        <w:rPr>
          <w:rFonts w:ascii="Arial" w:hAnsi="Arial" w:cs="Arial"/>
          <w:b/>
          <w:vertAlign w:val="superscript"/>
        </w:rPr>
        <w:footnoteReference w:id="6"/>
      </w:r>
      <w:r w:rsidRPr="007F336D">
        <w:rPr>
          <w:rFonts w:ascii="Arial" w:hAnsi="Arial" w:cs="Arial"/>
        </w:rPr>
        <w:t xml:space="preserve">.  Not all of the members engage in criminal work in the magistrates’ court </w:t>
      </w:r>
      <w:r w:rsidR="00E2648D">
        <w:rPr>
          <w:rFonts w:ascii="Arial" w:hAnsi="Arial" w:cs="Arial"/>
        </w:rPr>
        <w:t>(</w:t>
      </w:r>
      <w:r w:rsidR="00E2648D" w:rsidRPr="007F336D">
        <w:rPr>
          <w:rFonts w:ascii="Arial" w:hAnsi="Arial" w:cs="Arial"/>
        </w:rPr>
        <w:t>which is primarily carried out by solicitors</w:t>
      </w:r>
      <w:r w:rsidR="00E2648D">
        <w:rPr>
          <w:rFonts w:ascii="Arial" w:hAnsi="Arial" w:cs="Arial"/>
        </w:rPr>
        <w:t>)</w:t>
      </w:r>
      <w:r w:rsidR="00E2648D" w:rsidRPr="007F336D">
        <w:rPr>
          <w:rFonts w:ascii="Arial" w:hAnsi="Arial" w:cs="Arial"/>
        </w:rPr>
        <w:t xml:space="preserve"> </w:t>
      </w:r>
      <w:r w:rsidRPr="007F336D">
        <w:rPr>
          <w:rFonts w:ascii="Arial" w:hAnsi="Arial" w:cs="Arial"/>
        </w:rPr>
        <w:t>and on appeal in the County Court</w:t>
      </w:r>
      <w:r w:rsidR="00E2648D">
        <w:rPr>
          <w:rFonts w:ascii="Arial" w:hAnsi="Arial" w:cs="Arial"/>
        </w:rPr>
        <w:t>.</w:t>
      </w:r>
      <w:r w:rsidRPr="007F336D">
        <w:rPr>
          <w:rFonts w:ascii="Arial" w:hAnsi="Arial" w:cs="Arial"/>
        </w:rPr>
        <w:t xml:space="preserve"> </w:t>
      </w:r>
      <w:r w:rsidR="006B30A5" w:rsidRPr="007F336D">
        <w:rPr>
          <w:rFonts w:ascii="Arial" w:hAnsi="Arial" w:cs="Arial"/>
        </w:rPr>
        <w:t>However,</w:t>
      </w:r>
      <w:r w:rsidRPr="007F336D">
        <w:rPr>
          <w:rFonts w:ascii="Arial" w:hAnsi="Arial" w:cs="Arial"/>
        </w:rPr>
        <w:t xml:space="preserve"> Junior Counsel in particular is regularly engaged at both court tiers.</w:t>
      </w:r>
    </w:p>
    <w:p w:rsidR="000F29B8" w:rsidRPr="000F29B8" w:rsidRDefault="000F29B8" w:rsidP="00F67B38">
      <w:pPr>
        <w:numPr>
          <w:ilvl w:val="1"/>
          <w:numId w:val="2"/>
        </w:numPr>
        <w:autoSpaceDE w:val="0"/>
        <w:autoSpaceDN w:val="0"/>
        <w:adjustRightInd w:val="0"/>
        <w:spacing w:after="240" w:line="360" w:lineRule="auto"/>
        <w:ind w:left="567" w:hanging="567"/>
        <w:jc w:val="both"/>
        <w:rPr>
          <w:rFonts w:ascii="Arial" w:hAnsi="Arial" w:cs="Arial"/>
        </w:rPr>
      </w:pPr>
      <w:r w:rsidRPr="000F29B8">
        <w:rPr>
          <w:rFonts w:ascii="Arial" w:hAnsi="Arial" w:cs="Arial"/>
        </w:rPr>
        <w:t>Payment data</w:t>
      </w:r>
      <w:r w:rsidR="005A5E39">
        <w:rPr>
          <w:rFonts w:ascii="Arial" w:hAnsi="Arial" w:cs="Arial"/>
          <w:vertAlign w:val="superscript"/>
        </w:rPr>
        <w:t xml:space="preserve"> </w:t>
      </w:r>
      <w:r w:rsidR="005A5E39">
        <w:rPr>
          <w:rFonts w:ascii="Arial" w:hAnsi="Arial" w:cs="Arial"/>
        </w:rPr>
        <w:t xml:space="preserve">from 2015/16 </w:t>
      </w:r>
      <w:r w:rsidRPr="000F29B8">
        <w:rPr>
          <w:rFonts w:ascii="Arial" w:hAnsi="Arial" w:cs="Arial"/>
        </w:rPr>
        <w:t xml:space="preserve">suggests that in the magistrates’ court, solicitors account for </w:t>
      </w:r>
      <w:r w:rsidR="0076559C">
        <w:rPr>
          <w:rFonts w:ascii="Arial" w:hAnsi="Arial" w:cs="Arial"/>
        </w:rPr>
        <w:t>74.8</w:t>
      </w:r>
      <w:r w:rsidRPr="000F29B8">
        <w:rPr>
          <w:rFonts w:ascii="Arial" w:hAnsi="Arial" w:cs="Arial"/>
        </w:rPr>
        <w:t xml:space="preserve">% of legal aid expenditure, and junior counsel </w:t>
      </w:r>
      <w:r w:rsidR="0076559C">
        <w:rPr>
          <w:rFonts w:ascii="Arial" w:hAnsi="Arial" w:cs="Arial"/>
        </w:rPr>
        <w:t>24.9</w:t>
      </w:r>
      <w:r w:rsidRPr="000F29B8">
        <w:rPr>
          <w:rFonts w:ascii="Arial" w:hAnsi="Arial" w:cs="Arial"/>
        </w:rPr>
        <w:t xml:space="preserve">%, with senior counsel acting in relatively small number of cases.  In respect of </w:t>
      </w:r>
      <w:r w:rsidR="000E6AF4">
        <w:rPr>
          <w:rFonts w:ascii="Arial" w:hAnsi="Arial" w:cs="Arial"/>
        </w:rPr>
        <w:t>C</w:t>
      </w:r>
      <w:r w:rsidRPr="000F29B8">
        <w:rPr>
          <w:rFonts w:ascii="Arial" w:hAnsi="Arial" w:cs="Arial"/>
        </w:rPr>
        <w:t xml:space="preserve">ounty </w:t>
      </w:r>
      <w:r w:rsidR="000E6AF4">
        <w:rPr>
          <w:rFonts w:ascii="Arial" w:hAnsi="Arial" w:cs="Arial"/>
        </w:rPr>
        <w:t>C</w:t>
      </w:r>
      <w:r w:rsidRPr="000F29B8">
        <w:rPr>
          <w:rFonts w:ascii="Arial" w:hAnsi="Arial" w:cs="Arial"/>
        </w:rPr>
        <w:t xml:space="preserve">ourt appeals, junior counsel accounts for </w:t>
      </w:r>
      <w:r w:rsidR="0076559C">
        <w:rPr>
          <w:rFonts w:ascii="Arial" w:hAnsi="Arial" w:cs="Arial"/>
        </w:rPr>
        <w:t>34.9</w:t>
      </w:r>
      <w:r w:rsidRPr="000F29B8">
        <w:rPr>
          <w:rFonts w:ascii="Arial" w:hAnsi="Arial" w:cs="Arial"/>
        </w:rPr>
        <w:t xml:space="preserve">% of expenditure and solicitors </w:t>
      </w:r>
      <w:r w:rsidR="0076559C">
        <w:rPr>
          <w:rFonts w:ascii="Arial" w:hAnsi="Arial" w:cs="Arial"/>
        </w:rPr>
        <w:t>65.1</w:t>
      </w:r>
      <w:r w:rsidRPr="000F29B8">
        <w:rPr>
          <w:rFonts w:ascii="Arial" w:hAnsi="Arial" w:cs="Arial"/>
        </w:rPr>
        <w:t xml:space="preserve">%, with no expenditure on senior counsel for that court tier during the 2015/16 financial year.  </w:t>
      </w:r>
    </w:p>
    <w:p w:rsidR="000F29B8" w:rsidRDefault="005C7F9C" w:rsidP="00F67B38">
      <w:pPr>
        <w:numPr>
          <w:ilvl w:val="1"/>
          <w:numId w:val="2"/>
        </w:numPr>
        <w:autoSpaceDE w:val="0"/>
        <w:autoSpaceDN w:val="0"/>
        <w:adjustRightInd w:val="0"/>
        <w:spacing w:after="240" w:line="360" w:lineRule="auto"/>
        <w:ind w:left="567" w:hanging="567"/>
        <w:jc w:val="both"/>
        <w:rPr>
          <w:rFonts w:ascii="Arial" w:hAnsi="Arial" w:cs="Arial"/>
        </w:rPr>
      </w:pPr>
      <w:r w:rsidRPr="00D97E24">
        <w:rPr>
          <w:rFonts w:ascii="Arial" w:hAnsi="Arial" w:cs="Arial"/>
        </w:rPr>
        <w:t xml:space="preserve">The </w:t>
      </w:r>
      <w:r w:rsidR="00A37FC1">
        <w:rPr>
          <w:rFonts w:ascii="Arial" w:hAnsi="Arial" w:cs="Arial"/>
        </w:rPr>
        <w:t>DoJ</w:t>
      </w:r>
      <w:r w:rsidRPr="00D97E24">
        <w:rPr>
          <w:rFonts w:ascii="Arial" w:hAnsi="Arial" w:cs="Arial"/>
        </w:rPr>
        <w:t xml:space="preserve"> considers that the</w:t>
      </w:r>
      <w:r w:rsidR="00D97E24" w:rsidRPr="00D97E24">
        <w:rPr>
          <w:rFonts w:ascii="Arial" w:hAnsi="Arial" w:cs="Arial"/>
        </w:rPr>
        <w:t>re are sufficient numbers of competent solicitors and counsel undertaking defence representation in magistrates’ court cases and appeal to the County Court in Northern Ireland</w:t>
      </w:r>
      <w:r w:rsidR="000F29B8" w:rsidRPr="00D97E24">
        <w:rPr>
          <w:rFonts w:ascii="Arial" w:hAnsi="Arial" w:cs="Arial"/>
        </w:rPr>
        <w:t>.</w:t>
      </w:r>
      <w:r w:rsidR="000F29B8" w:rsidRPr="000F29B8">
        <w:rPr>
          <w:rFonts w:ascii="Arial" w:hAnsi="Arial" w:cs="Arial"/>
        </w:rPr>
        <w:t xml:space="preserve">  Engagement with the </w:t>
      </w:r>
      <w:r w:rsidR="006B30A5">
        <w:rPr>
          <w:rFonts w:ascii="Arial" w:hAnsi="Arial" w:cs="Arial"/>
        </w:rPr>
        <w:t>stakeholders to date</w:t>
      </w:r>
      <w:r w:rsidR="000F29B8" w:rsidRPr="000F29B8">
        <w:rPr>
          <w:rFonts w:ascii="Arial" w:hAnsi="Arial" w:cs="Arial"/>
        </w:rPr>
        <w:t xml:space="preserve"> has not raised any issues in this regard.  </w:t>
      </w:r>
    </w:p>
    <w:p w:rsidR="001D3073" w:rsidRPr="001A2487" w:rsidRDefault="001D3073" w:rsidP="00F67B38">
      <w:pPr>
        <w:autoSpaceDE w:val="0"/>
        <w:autoSpaceDN w:val="0"/>
        <w:adjustRightInd w:val="0"/>
        <w:spacing w:after="240" w:line="360" w:lineRule="auto"/>
        <w:ind w:left="567"/>
        <w:jc w:val="both"/>
        <w:rPr>
          <w:rFonts w:ascii="Arial" w:hAnsi="Arial" w:cs="Arial"/>
          <w:b/>
          <w:i/>
        </w:rPr>
      </w:pPr>
      <w:r w:rsidRPr="001A2487">
        <w:rPr>
          <w:rFonts w:ascii="Arial" w:hAnsi="Arial" w:cs="Arial"/>
          <w:b/>
          <w:i/>
        </w:rPr>
        <w:t>Cost to public funds</w:t>
      </w:r>
    </w:p>
    <w:p w:rsidR="000F29B8" w:rsidRPr="005A5E39" w:rsidRDefault="000F29B8" w:rsidP="00F67B38">
      <w:pPr>
        <w:numPr>
          <w:ilvl w:val="1"/>
          <w:numId w:val="2"/>
        </w:numPr>
        <w:autoSpaceDE w:val="0"/>
        <w:autoSpaceDN w:val="0"/>
        <w:adjustRightInd w:val="0"/>
        <w:spacing w:after="240" w:line="360" w:lineRule="auto"/>
        <w:ind w:left="567" w:hanging="567"/>
        <w:jc w:val="both"/>
        <w:rPr>
          <w:rFonts w:ascii="Arial" w:hAnsi="Arial" w:cs="Arial"/>
        </w:rPr>
      </w:pPr>
      <w:r w:rsidRPr="005A5E39">
        <w:rPr>
          <w:rFonts w:ascii="Arial" w:hAnsi="Arial" w:cs="Arial"/>
        </w:rPr>
        <w:t xml:space="preserve">From 2011/12 </w:t>
      </w:r>
      <w:r w:rsidR="006E5167">
        <w:rPr>
          <w:rFonts w:ascii="Arial" w:hAnsi="Arial" w:cs="Arial"/>
        </w:rPr>
        <w:t>to</w:t>
      </w:r>
      <w:r w:rsidR="006E5167" w:rsidRPr="005A5E39">
        <w:rPr>
          <w:rFonts w:ascii="Arial" w:hAnsi="Arial" w:cs="Arial"/>
        </w:rPr>
        <w:t xml:space="preserve"> </w:t>
      </w:r>
      <w:r w:rsidRPr="005A5E39">
        <w:rPr>
          <w:rFonts w:ascii="Arial" w:hAnsi="Arial" w:cs="Arial"/>
        </w:rPr>
        <w:t>2015/16 (inclusive) criminal legal aid accounted for 48</w:t>
      </w:r>
      <w:r w:rsidR="006A6C16">
        <w:rPr>
          <w:rFonts w:ascii="Arial" w:hAnsi="Arial" w:cs="Arial"/>
        </w:rPr>
        <w:t>.</w:t>
      </w:r>
      <w:r w:rsidR="00756ED2">
        <w:rPr>
          <w:rFonts w:ascii="Arial" w:hAnsi="Arial" w:cs="Arial"/>
        </w:rPr>
        <w:t>4</w:t>
      </w:r>
      <w:r w:rsidRPr="005A5E39">
        <w:rPr>
          <w:rFonts w:ascii="Arial" w:hAnsi="Arial" w:cs="Arial"/>
        </w:rPr>
        <w:t>% of legal aid expenditure in Northern Ireland</w:t>
      </w:r>
      <w:r w:rsidRPr="001A2487">
        <w:rPr>
          <w:rFonts w:ascii="Arial" w:hAnsi="Arial" w:cs="Arial"/>
          <w:b/>
          <w:vertAlign w:val="superscript"/>
        </w:rPr>
        <w:footnoteReference w:id="7"/>
      </w:r>
      <w:r w:rsidRPr="005A5E39">
        <w:rPr>
          <w:rFonts w:ascii="Arial" w:hAnsi="Arial" w:cs="Arial"/>
        </w:rPr>
        <w:t>.   In the 2015/16 financial year</w:t>
      </w:r>
      <w:r w:rsidR="005A5E39" w:rsidRPr="005A5E39">
        <w:rPr>
          <w:rFonts w:ascii="Arial" w:hAnsi="Arial" w:cs="Arial"/>
        </w:rPr>
        <w:t>,</w:t>
      </w:r>
      <w:r w:rsidRPr="005A5E39">
        <w:rPr>
          <w:rFonts w:ascii="Arial" w:hAnsi="Arial" w:cs="Arial"/>
        </w:rPr>
        <w:t xml:space="preserve"> criminal legal aid expenditure was approximately £40.9m.  Of the total expenditure on criminal legal aid, payments in the magistrates’ court and </w:t>
      </w:r>
      <w:r w:rsidR="000E6AF4">
        <w:rPr>
          <w:rFonts w:ascii="Arial" w:hAnsi="Arial" w:cs="Arial"/>
        </w:rPr>
        <w:t>C</w:t>
      </w:r>
      <w:r w:rsidRPr="005A5E39">
        <w:rPr>
          <w:rFonts w:ascii="Arial" w:hAnsi="Arial" w:cs="Arial"/>
        </w:rPr>
        <w:t xml:space="preserve">ounty </w:t>
      </w:r>
      <w:r w:rsidR="000E6AF4">
        <w:rPr>
          <w:rFonts w:ascii="Arial" w:hAnsi="Arial" w:cs="Arial"/>
        </w:rPr>
        <w:t>C</w:t>
      </w:r>
      <w:r w:rsidRPr="005A5E39">
        <w:rPr>
          <w:rFonts w:ascii="Arial" w:hAnsi="Arial" w:cs="Arial"/>
        </w:rPr>
        <w:t xml:space="preserve">ourt appeals accounted for £18.6m and £869K respectively, or </w:t>
      </w:r>
      <w:r w:rsidR="00756ED2" w:rsidRPr="005A5E39">
        <w:rPr>
          <w:rFonts w:ascii="Arial" w:hAnsi="Arial" w:cs="Arial"/>
        </w:rPr>
        <w:t>4</w:t>
      </w:r>
      <w:r w:rsidR="00756ED2">
        <w:rPr>
          <w:rFonts w:ascii="Arial" w:hAnsi="Arial" w:cs="Arial"/>
        </w:rPr>
        <w:t>5</w:t>
      </w:r>
      <w:r w:rsidR="006A6C16">
        <w:rPr>
          <w:rFonts w:ascii="Arial" w:hAnsi="Arial" w:cs="Arial"/>
        </w:rPr>
        <w:t>.</w:t>
      </w:r>
      <w:r w:rsidR="00756ED2">
        <w:rPr>
          <w:rFonts w:ascii="Arial" w:hAnsi="Arial" w:cs="Arial"/>
        </w:rPr>
        <w:t>5</w:t>
      </w:r>
      <w:r w:rsidRPr="005A5E39">
        <w:rPr>
          <w:rFonts w:ascii="Arial" w:hAnsi="Arial" w:cs="Arial"/>
        </w:rPr>
        <w:t>% and 2.1%.</w:t>
      </w:r>
    </w:p>
    <w:p w:rsidR="000F29B8" w:rsidRPr="005A5E39" w:rsidRDefault="00CD3EF3" w:rsidP="00F67B38">
      <w:pPr>
        <w:numPr>
          <w:ilvl w:val="1"/>
          <w:numId w:val="2"/>
        </w:numPr>
        <w:autoSpaceDE w:val="0"/>
        <w:autoSpaceDN w:val="0"/>
        <w:adjustRightInd w:val="0"/>
        <w:spacing w:after="240" w:line="360" w:lineRule="auto"/>
        <w:ind w:left="567" w:hanging="567"/>
        <w:jc w:val="both"/>
        <w:rPr>
          <w:rFonts w:ascii="Arial" w:hAnsi="Arial" w:cs="Arial"/>
        </w:rPr>
      </w:pPr>
      <w:r>
        <w:rPr>
          <w:rFonts w:ascii="Arial" w:hAnsi="Arial" w:cs="Arial"/>
        </w:rPr>
        <w:t xml:space="preserve">Between </w:t>
      </w:r>
      <w:r w:rsidR="00E2648D">
        <w:rPr>
          <w:rFonts w:ascii="Arial" w:hAnsi="Arial" w:cs="Arial"/>
        </w:rPr>
        <w:t xml:space="preserve">2011/12 </w:t>
      </w:r>
      <w:r>
        <w:rPr>
          <w:rFonts w:ascii="Arial" w:hAnsi="Arial" w:cs="Arial"/>
        </w:rPr>
        <w:t xml:space="preserve">and </w:t>
      </w:r>
      <w:r w:rsidR="00E2648D">
        <w:rPr>
          <w:rFonts w:ascii="Arial" w:hAnsi="Arial" w:cs="Arial"/>
        </w:rPr>
        <w:t>2015/16</w:t>
      </w:r>
      <w:r w:rsidR="007D10FD">
        <w:rPr>
          <w:rFonts w:ascii="Arial" w:hAnsi="Arial" w:cs="Arial"/>
        </w:rPr>
        <w:t xml:space="preserve"> m</w:t>
      </w:r>
      <w:r w:rsidR="000F29B8" w:rsidRPr="005A5E39">
        <w:rPr>
          <w:rFonts w:ascii="Arial" w:hAnsi="Arial" w:cs="Arial"/>
        </w:rPr>
        <w:t xml:space="preserve">agistrates’ </w:t>
      </w:r>
      <w:r w:rsidR="007D10FD">
        <w:rPr>
          <w:rFonts w:ascii="Arial" w:hAnsi="Arial" w:cs="Arial"/>
        </w:rPr>
        <w:t>c</w:t>
      </w:r>
      <w:r w:rsidR="000F29B8" w:rsidRPr="005A5E39">
        <w:rPr>
          <w:rFonts w:ascii="Arial" w:hAnsi="Arial" w:cs="Arial"/>
        </w:rPr>
        <w:t xml:space="preserve">ourt expenditure </w:t>
      </w:r>
      <w:r w:rsidR="007D10FD">
        <w:rPr>
          <w:rFonts w:ascii="Arial" w:hAnsi="Arial" w:cs="Arial"/>
        </w:rPr>
        <w:t>fell</w:t>
      </w:r>
      <w:r w:rsidR="000F29B8" w:rsidRPr="005A5E39">
        <w:rPr>
          <w:rFonts w:ascii="Arial" w:hAnsi="Arial" w:cs="Arial"/>
        </w:rPr>
        <w:t xml:space="preserve"> by 1</w:t>
      </w:r>
      <w:r w:rsidR="00756ED2">
        <w:rPr>
          <w:rFonts w:ascii="Arial" w:hAnsi="Arial" w:cs="Arial"/>
        </w:rPr>
        <w:t>2.8</w:t>
      </w:r>
      <w:r w:rsidR="000F29B8" w:rsidRPr="005A5E39">
        <w:rPr>
          <w:rFonts w:ascii="Arial" w:hAnsi="Arial" w:cs="Arial"/>
        </w:rPr>
        <w:t>%</w:t>
      </w:r>
      <w:r w:rsidR="007D10FD">
        <w:rPr>
          <w:rFonts w:ascii="Arial" w:hAnsi="Arial" w:cs="Arial"/>
        </w:rPr>
        <w:t>. That reduction was</w:t>
      </w:r>
      <w:r w:rsidR="000F29B8" w:rsidRPr="005A5E39">
        <w:rPr>
          <w:rFonts w:ascii="Arial" w:hAnsi="Arial" w:cs="Arial"/>
        </w:rPr>
        <w:t xml:space="preserve"> accompanied by an even greater reduction in the number of cases disposed of at this court tier</w:t>
      </w:r>
      <w:r w:rsidR="000F29B8" w:rsidRPr="001A2487">
        <w:rPr>
          <w:rFonts w:ascii="Arial" w:hAnsi="Arial" w:cs="Arial"/>
          <w:b/>
          <w:vertAlign w:val="superscript"/>
        </w:rPr>
        <w:footnoteReference w:id="8"/>
      </w:r>
      <w:r w:rsidR="007D10FD">
        <w:rPr>
          <w:rFonts w:ascii="Arial" w:hAnsi="Arial" w:cs="Arial"/>
        </w:rPr>
        <w:t xml:space="preserve">  when, b</w:t>
      </w:r>
      <w:r w:rsidR="000F29B8" w:rsidRPr="005A5E39">
        <w:rPr>
          <w:rFonts w:ascii="Arial" w:hAnsi="Arial" w:cs="Arial"/>
        </w:rPr>
        <w:t>etween 2011 and 2015</w:t>
      </w:r>
      <w:r w:rsidR="007D10FD">
        <w:rPr>
          <w:rFonts w:ascii="Arial" w:hAnsi="Arial" w:cs="Arial"/>
        </w:rPr>
        <w:t>,</w:t>
      </w:r>
      <w:r w:rsidR="000F29B8" w:rsidRPr="005A5E39">
        <w:rPr>
          <w:rFonts w:ascii="Arial" w:hAnsi="Arial" w:cs="Arial"/>
        </w:rPr>
        <w:t xml:space="preserve"> the number of overall defendants (legally aided and non-legally aided) disposed of at the magistrates’ court (adult and youth) fell by approximately 2</w:t>
      </w:r>
      <w:r w:rsidR="00756ED2">
        <w:rPr>
          <w:rFonts w:ascii="Arial" w:hAnsi="Arial" w:cs="Arial"/>
        </w:rPr>
        <w:t>2.1</w:t>
      </w:r>
      <w:r w:rsidR="000F29B8" w:rsidRPr="005A5E39">
        <w:rPr>
          <w:rFonts w:ascii="Arial" w:hAnsi="Arial" w:cs="Arial"/>
        </w:rPr>
        <w:t xml:space="preserve">%.  </w:t>
      </w:r>
    </w:p>
    <w:p w:rsidR="000F29B8" w:rsidRPr="005A5E39" w:rsidRDefault="000F29B8" w:rsidP="00F67B38">
      <w:pPr>
        <w:numPr>
          <w:ilvl w:val="1"/>
          <w:numId w:val="2"/>
        </w:numPr>
        <w:autoSpaceDE w:val="0"/>
        <w:autoSpaceDN w:val="0"/>
        <w:adjustRightInd w:val="0"/>
        <w:spacing w:after="240" w:line="360" w:lineRule="auto"/>
        <w:ind w:left="567" w:hanging="567"/>
        <w:jc w:val="both"/>
        <w:rPr>
          <w:rFonts w:ascii="Arial" w:hAnsi="Arial" w:cs="Arial"/>
        </w:rPr>
      </w:pPr>
      <w:r w:rsidRPr="005A5E39">
        <w:rPr>
          <w:rFonts w:ascii="Arial" w:hAnsi="Arial" w:cs="Arial"/>
        </w:rPr>
        <w:t xml:space="preserve">This decrease in magistrates’ court business </w:t>
      </w:r>
      <w:r w:rsidR="007D10FD">
        <w:rPr>
          <w:rFonts w:ascii="Arial" w:hAnsi="Arial" w:cs="Arial"/>
        </w:rPr>
        <w:t>was</w:t>
      </w:r>
      <w:r w:rsidR="006A6C16">
        <w:rPr>
          <w:rFonts w:ascii="Arial" w:hAnsi="Arial" w:cs="Arial"/>
        </w:rPr>
        <w:t>, however,</w:t>
      </w:r>
      <w:r w:rsidRPr="005A5E39">
        <w:rPr>
          <w:rFonts w:ascii="Arial" w:hAnsi="Arial" w:cs="Arial"/>
        </w:rPr>
        <w:t xml:space="preserve"> accompanied by a smaller reduction in the number of legal aid payment</w:t>
      </w:r>
      <w:r w:rsidR="005A5E39" w:rsidRPr="005A5E39">
        <w:rPr>
          <w:rFonts w:ascii="Arial" w:hAnsi="Arial" w:cs="Arial"/>
        </w:rPr>
        <w:t>s</w:t>
      </w:r>
      <w:r w:rsidRPr="005A5E39">
        <w:rPr>
          <w:rFonts w:ascii="Arial" w:hAnsi="Arial" w:cs="Arial"/>
        </w:rPr>
        <w:t xml:space="preserve"> at that court tier, with the number of full reports dropping from 37,222 in 2011/12 to 33,843 in 2015/16 (a fall of 9</w:t>
      </w:r>
      <w:r w:rsidR="00C11D8F">
        <w:rPr>
          <w:rFonts w:ascii="Arial" w:hAnsi="Arial" w:cs="Arial"/>
        </w:rPr>
        <w:t>.</w:t>
      </w:r>
      <w:r w:rsidR="00756ED2">
        <w:rPr>
          <w:rFonts w:ascii="Arial" w:hAnsi="Arial" w:cs="Arial"/>
        </w:rPr>
        <w:t>1</w:t>
      </w:r>
      <w:r w:rsidRPr="005A5E39">
        <w:rPr>
          <w:rFonts w:ascii="Arial" w:hAnsi="Arial" w:cs="Arial"/>
        </w:rPr>
        <w:t>%).  On the basis of this information, the reduction in legally aided cases at the magistrates’ court during this period of time appears to be much less tha</w:t>
      </w:r>
      <w:r w:rsidR="005A5E39" w:rsidRPr="005A5E39">
        <w:rPr>
          <w:rFonts w:ascii="Arial" w:hAnsi="Arial" w:cs="Arial"/>
        </w:rPr>
        <w:t>n</w:t>
      </w:r>
      <w:r w:rsidRPr="005A5E39">
        <w:rPr>
          <w:rFonts w:ascii="Arial" w:hAnsi="Arial" w:cs="Arial"/>
        </w:rPr>
        <w:t xml:space="preserve"> the reduction in magistrates’ court business as a whole.</w:t>
      </w:r>
    </w:p>
    <w:p w:rsidR="000F29B8" w:rsidRPr="005A5E39" w:rsidRDefault="000F29B8" w:rsidP="00F67B38">
      <w:pPr>
        <w:numPr>
          <w:ilvl w:val="1"/>
          <w:numId w:val="2"/>
        </w:numPr>
        <w:autoSpaceDE w:val="0"/>
        <w:autoSpaceDN w:val="0"/>
        <w:adjustRightInd w:val="0"/>
        <w:spacing w:after="240" w:line="360" w:lineRule="auto"/>
        <w:ind w:left="567" w:hanging="567"/>
        <w:jc w:val="both"/>
        <w:rPr>
          <w:rFonts w:ascii="Arial" w:hAnsi="Arial" w:cs="Arial"/>
        </w:rPr>
      </w:pPr>
      <w:r w:rsidRPr="005A5E39">
        <w:rPr>
          <w:rFonts w:ascii="Arial" w:hAnsi="Arial" w:cs="Arial"/>
        </w:rPr>
        <w:t xml:space="preserve">During this same period, the average cost of magistrates’ courts payments has reduced </w:t>
      </w:r>
      <w:r w:rsidR="007D10FD">
        <w:rPr>
          <w:rFonts w:ascii="Arial" w:hAnsi="Arial" w:cs="Arial"/>
        </w:rPr>
        <w:t>by 4.2%</w:t>
      </w:r>
      <w:r w:rsidR="007D10FD" w:rsidRPr="005A5E39">
        <w:rPr>
          <w:rFonts w:ascii="Arial" w:hAnsi="Arial" w:cs="Arial"/>
        </w:rPr>
        <w:t xml:space="preserve"> </w:t>
      </w:r>
      <w:r w:rsidR="006A6C16">
        <w:rPr>
          <w:rFonts w:ascii="Arial" w:hAnsi="Arial" w:cs="Arial"/>
        </w:rPr>
        <w:t xml:space="preserve">per case </w:t>
      </w:r>
      <w:r w:rsidRPr="005A5E39">
        <w:rPr>
          <w:rFonts w:ascii="Arial" w:hAnsi="Arial" w:cs="Arial"/>
        </w:rPr>
        <w:t xml:space="preserve">from £590 in 2011/12 to £565 </w:t>
      </w:r>
      <w:r w:rsidR="006A6C16">
        <w:rPr>
          <w:rFonts w:ascii="Arial" w:hAnsi="Arial" w:cs="Arial"/>
        </w:rPr>
        <w:t xml:space="preserve">per case </w:t>
      </w:r>
      <w:r w:rsidRPr="005A5E39">
        <w:rPr>
          <w:rFonts w:ascii="Arial" w:hAnsi="Arial" w:cs="Arial"/>
        </w:rPr>
        <w:t xml:space="preserve">in 2015/16.  This reduction can be attributed to the natural decrease in the number of payments made under the 1992 Rules as older cases filter out of the system, and the increasing reliance upon the standard fee regime introduced by the 2009 Rules.  </w:t>
      </w:r>
    </w:p>
    <w:p w:rsidR="000F29B8" w:rsidRPr="005A5E39" w:rsidRDefault="000F29B8" w:rsidP="00F67B38">
      <w:pPr>
        <w:numPr>
          <w:ilvl w:val="1"/>
          <w:numId w:val="2"/>
        </w:numPr>
        <w:autoSpaceDE w:val="0"/>
        <w:autoSpaceDN w:val="0"/>
        <w:adjustRightInd w:val="0"/>
        <w:spacing w:after="240" w:line="360" w:lineRule="auto"/>
        <w:ind w:left="567" w:hanging="567"/>
        <w:jc w:val="both"/>
        <w:rPr>
          <w:rFonts w:ascii="Arial" w:hAnsi="Arial" w:cs="Arial"/>
        </w:rPr>
      </w:pPr>
      <w:r w:rsidRPr="005A5E39">
        <w:rPr>
          <w:rFonts w:ascii="Arial" w:hAnsi="Arial" w:cs="Arial"/>
        </w:rPr>
        <w:t xml:space="preserve">The changes introduced through the 2014 Rules </w:t>
      </w:r>
      <w:r w:rsidR="000C3832">
        <w:rPr>
          <w:rFonts w:ascii="Arial" w:hAnsi="Arial" w:cs="Arial"/>
        </w:rPr>
        <w:t>were</w:t>
      </w:r>
      <w:r w:rsidRPr="005A5E39">
        <w:rPr>
          <w:rFonts w:ascii="Arial" w:hAnsi="Arial" w:cs="Arial"/>
        </w:rPr>
        <w:t xml:space="preserve"> accompanied by a reduction in the overall total, and average cost of, magistrates’ court payments.  Perhaps of most significance in this regard was the removal of provisions relating to very high cost cases (VHCCs).  Expenditure on VHCCs – which allowed for an escape from the standard fee regime for exceptional cases if particular criteria were met – peaked in the magistrates’ courts in 2014/15 at £2.7m, leading to a jump in the average cost of a payment, but fell to £561K in the subsequent financial year following the removal of the relevant provisions through the 2014 Rules.</w:t>
      </w:r>
    </w:p>
    <w:p w:rsidR="000F29B8" w:rsidRPr="005A5E39" w:rsidRDefault="000F29B8" w:rsidP="00F67B38">
      <w:pPr>
        <w:numPr>
          <w:ilvl w:val="1"/>
          <w:numId w:val="2"/>
        </w:numPr>
        <w:autoSpaceDE w:val="0"/>
        <w:autoSpaceDN w:val="0"/>
        <w:adjustRightInd w:val="0"/>
        <w:spacing w:after="240" w:line="360" w:lineRule="auto"/>
        <w:ind w:left="567" w:hanging="567"/>
        <w:jc w:val="both"/>
        <w:rPr>
          <w:rFonts w:ascii="Arial" w:hAnsi="Arial" w:cs="Arial"/>
        </w:rPr>
      </w:pPr>
      <w:r w:rsidRPr="005A5E39">
        <w:rPr>
          <w:rFonts w:ascii="Arial" w:hAnsi="Arial" w:cs="Arial"/>
        </w:rPr>
        <w:t xml:space="preserve">Furthermore, the average payment for non-VHCC cases in the magistrates’ court has reduced </w:t>
      </w:r>
      <w:r w:rsidR="006A6C16">
        <w:rPr>
          <w:rFonts w:ascii="Arial" w:hAnsi="Arial" w:cs="Arial"/>
        </w:rPr>
        <w:t xml:space="preserve">by 6.0% </w:t>
      </w:r>
      <w:r w:rsidRPr="005A5E39">
        <w:rPr>
          <w:rFonts w:ascii="Arial" w:hAnsi="Arial" w:cs="Arial"/>
        </w:rPr>
        <w:t>from £583 in 2011/12 to £548 in 2015/16, demonstrating that the overall impact of the introduction of standard fees has been to reduce costs in the majority of cases.  It is important to caveat this conclusion by noting that data from 2016/17 and beyond will be informative as to whether or not this represents a longer term trend at the magistrates’ court.</w:t>
      </w:r>
    </w:p>
    <w:p w:rsidR="00E52179" w:rsidRPr="00E52179" w:rsidRDefault="00E52179" w:rsidP="00F67B38">
      <w:pPr>
        <w:numPr>
          <w:ilvl w:val="1"/>
          <w:numId w:val="2"/>
        </w:numPr>
        <w:autoSpaceDE w:val="0"/>
        <w:autoSpaceDN w:val="0"/>
        <w:adjustRightInd w:val="0"/>
        <w:spacing w:after="240" w:line="360" w:lineRule="auto"/>
        <w:ind w:left="567" w:hanging="567"/>
        <w:jc w:val="both"/>
        <w:rPr>
          <w:rFonts w:ascii="Arial" w:hAnsi="Arial" w:cs="Arial"/>
        </w:rPr>
      </w:pPr>
      <w:r w:rsidRPr="00E52179">
        <w:rPr>
          <w:rFonts w:ascii="Arial" w:hAnsi="Arial" w:cs="Arial"/>
        </w:rPr>
        <w:t>Between 2011/12 and 2015/16</w:t>
      </w:r>
      <w:r>
        <w:rPr>
          <w:rFonts w:ascii="Arial" w:hAnsi="Arial" w:cs="Arial"/>
        </w:rPr>
        <w:t>,</w:t>
      </w:r>
      <w:r w:rsidRPr="00E52179">
        <w:rPr>
          <w:rFonts w:ascii="Arial" w:hAnsi="Arial" w:cs="Arial"/>
        </w:rPr>
        <w:t xml:space="preserve"> County Court appeals business and expenditure </w:t>
      </w:r>
      <w:r>
        <w:rPr>
          <w:rFonts w:ascii="Arial" w:hAnsi="Arial" w:cs="Arial"/>
        </w:rPr>
        <w:t xml:space="preserve">has </w:t>
      </w:r>
      <w:r w:rsidRPr="00E52179">
        <w:rPr>
          <w:rFonts w:ascii="Arial" w:hAnsi="Arial" w:cs="Arial"/>
        </w:rPr>
        <w:t xml:space="preserve">remained </w:t>
      </w:r>
      <w:r w:rsidR="009A51E8">
        <w:rPr>
          <w:rFonts w:ascii="Arial" w:hAnsi="Arial" w:cs="Arial"/>
        </w:rPr>
        <w:t xml:space="preserve">at a </w:t>
      </w:r>
      <w:r w:rsidRPr="00E52179">
        <w:rPr>
          <w:rFonts w:ascii="Arial" w:hAnsi="Arial" w:cs="Arial"/>
        </w:rPr>
        <w:t xml:space="preserve">comparatively constant level.  In 2011/12, there were 2,470 full payment reports for County Court appeals at an average cost of £306, and the equivalent figures in 2015/16 were 2,798 and £317.  Whilst the number of full reports at this court tier in 2015/16 did represent a peak during this period, the average cost remained broadly similar to the previous financial year (£320 in 2014/15).  </w:t>
      </w:r>
    </w:p>
    <w:p w:rsidR="009D5D74" w:rsidRPr="00ED053F" w:rsidRDefault="009D5D74" w:rsidP="00F67B38">
      <w:pPr>
        <w:numPr>
          <w:ilvl w:val="1"/>
          <w:numId w:val="2"/>
        </w:numPr>
        <w:autoSpaceDE w:val="0"/>
        <w:autoSpaceDN w:val="0"/>
        <w:adjustRightInd w:val="0"/>
        <w:spacing w:after="240" w:line="360" w:lineRule="auto"/>
        <w:ind w:left="567" w:hanging="567"/>
        <w:jc w:val="both"/>
        <w:rPr>
          <w:rFonts w:ascii="Arial" w:hAnsi="Arial" w:cs="Arial"/>
        </w:rPr>
      </w:pPr>
      <w:r>
        <w:rPr>
          <w:rFonts w:ascii="Arial" w:hAnsi="Arial" w:cs="Arial"/>
        </w:rPr>
        <w:t>On the basis of the information</w:t>
      </w:r>
      <w:r w:rsidR="00373947">
        <w:rPr>
          <w:rFonts w:ascii="Arial" w:hAnsi="Arial" w:cs="Arial"/>
        </w:rPr>
        <w:t xml:space="preserve"> above</w:t>
      </w:r>
      <w:r>
        <w:rPr>
          <w:rFonts w:ascii="Arial" w:hAnsi="Arial" w:cs="Arial"/>
        </w:rPr>
        <w:t xml:space="preserve">, the </w:t>
      </w:r>
      <w:r w:rsidR="00A37FC1">
        <w:rPr>
          <w:rFonts w:ascii="Arial" w:hAnsi="Arial" w:cs="Arial"/>
        </w:rPr>
        <w:t>DoJ</w:t>
      </w:r>
      <w:r>
        <w:rPr>
          <w:rFonts w:ascii="Arial" w:hAnsi="Arial" w:cs="Arial"/>
        </w:rPr>
        <w:t xml:space="preserve"> is satisfied that the introduction of the 2009 Rules, and in particular the standard fee structure that the Rules provide, has introduced greater control of and predictability to </w:t>
      </w:r>
      <w:r w:rsidR="00C10846">
        <w:rPr>
          <w:rFonts w:ascii="Arial" w:hAnsi="Arial" w:cs="Arial"/>
        </w:rPr>
        <w:t xml:space="preserve">the </w:t>
      </w:r>
      <w:r>
        <w:rPr>
          <w:rFonts w:ascii="Arial" w:hAnsi="Arial" w:cs="Arial"/>
        </w:rPr>
        <w:t xml:space="preserve">cost of criminal legal aid at the magistrates’ court and the County Court on appeal. </w:t>
      </w:r>
      <w:r w:rsidR="00E52179">
        <w:rPr>
          <w:rFonts w:ascii="Arial" w:hAnsi="Arial" w:cs="Arial"/>
        </w:rPr>
        <w:t xml:space="preserve">  The amendments made by both the 2014 and 2016 rules have built on this approach, respectively addressing omissions within the Rules and provisions for exceptionality.  Therefore, the </w:t>
      </w:r>
      <w:r w:rsidR="00A37FC1">
        <w:rPr>
          <w:rFonts w:ascii="Arial" w:hAnsi="Arial" w:cs="Arial"/>
        </w:rPr>
        <w:t>DoJ</w:t>
      </w:r>
      <w:r w:rsidR="00E52179">
        <w:rPr>
          <w:rFonts w:ascii="Arial" w:hAnsi="Arial" w:cs="Arial"/>
        </w:rPr>
        <w:t xml:space="preserve"> is of the view that the cost to public funds under the 2009 Rules is appropriate at this time.</w:t>
      </w:r>
    </w:p>
    <w:p w:rsidR="001D3073" w:rsidRPr="001A2487" w:rsidRDefault="001D3073" w:rsidP="00F67B38">
      <w:pPr>
        <w:autoSpaceDE w:val="0"/>
        <w:autoSpaceDN w:val="0"/>
        <w:adjustRightInd w:val="0"/>
        <w:spacing w:after="240" w:line="360" w:lineRule="auto"/>
        <w:ind w:left="567"/>
        <w:jc w:val="both"/>
        <w:rPr>
          <w:rFonts w:ascii="Arial" w:hAnsi="Arial" w:cs="Arial"/>
          <w:b/>
          <w:i/>
        </w:rPr>
      </w:pPr>
      <w:r w:rsidRPr="001A2487">
        <w:rPr>
          <w:rFonts w:ascii="Arial" w:hAnsi="Arial" w:cs="Arial"/>
          <w:b/>
          <w:i/>
        </w:rPr>
        <w:t>Value for money</w:t>
      </w:r>
    </w:p>
    <w:p w:rsidR="000F29B8" w:rsidRPr="000F29B8" w:rsidRDefault="000F29B8" w:rsidP="00F67B38">
      <w:pPr>
        <w:numPr>
          <w:ilvl w:val="1"/>
          <w:numId w:val="2"/>
        </w:numPr>
        <w:autoSpaceDE w:val="0"/>
        <w:autoSpaceDN w:val="0"/>
        <w:adjustRightInd w:val="0"/>
        <w:spacing w:after="240" w:line="360" w:lineRule="auto"/>
        <w:ind w:left="567" w:hanging="567"/>
        <w:jc w:val="both"/>
        <w:rPr>
          <w:rFonts w:ascii="Arial" w:hAnsi="Arial" w:cs="Arial"/>
        </w:rPr>
      </w:pPr>
      <w:r w:rsidRPr="000F29B8">
        <w:rPr>
          <w:rFonts w:ascii="Arial" w:hAnsi="Arial" w:cs="Arial"/>
        </w:rPr>
        <w:t xml:space="preserve">When considering the value for money of the 2009 Rules, </w:t>
      </w:r>
      <w:r>
        <w:rPr>
          <w:rFonts w:ascii="Arial" w:hAnsi="Arial" w:cs="Arial"/>
        </w:rPr>
        <w:t xml:space="preserve">the </w:t>
      </w:r>
      <w:r w:rsidR="00A37FC1">
        <w:rPr>
          <w:rFonts w:ascii="Arial" w:hAnsi="Arial" w:cs="Arial"/>
        </w:rPr>
        <w:t>DoJ</w:t>
      </w:r>
      <w:r>
        <w:rPr>
          <w:rFonts w:ascii="Arial" w:hAnsi="Arial" w:cs="Arial"/>
        </w:rPr>
        <w:t xml:space="preserve"> has taken</w:t>
      </w:r>
      <w:r w:rsidRPr="000F29B8">
        <w:rPr>
          <w:rFonts w:ascii="Arial" w:hAnsi="Arial" w:cs="Arial"/>
        </w:rPr>
        <w:t xml:space="preserve"> account of the economy, efficiency, effectiveness and equity of the system in question.  These criteria – used by the National Audit Office</w:t>
      </w:r>
      <w:r w:rsidRPr="001A2487">
        <w:rPr>
          <w:rFonts w:ascii="Arial" w:hAnsi="Arial" w:cs="Arial"/>
          <w:b/>
          <w:vertAlign w:val="superscript"/>
        </w:rPr>
        <w:footnoteReference w:id="9"/>
      </w:r>
      <w:r w:rsidRPr="001A2487">
        <w:rPr>
          <w:rFonts w:ascii="Arial" w:hAnsi="Arial" w:cs="Arial"/>
          <w:b/>
        </w:rPr>
        <w:t xml:space="preserve"> </w:t>
      </w:r>
      <w:r w:rsidRPr="000F29B8">
        <w:rPr>
          <w:rFonts w:ascii="Arial" w:hAnsi="Arial" w:cs="Arial"/>
        </w:rPr>
        <w:t>to assess the value for money of government spending – can best be summarised as follows:</w:t>
      </w:r>
    </w:p>
    <w:p w:rsidR="000F29B8" w:rsidRPr="000F29B8" w:rsidRDefault="000F29B8" w:rsidP="00F67B38">
      <w:pPr>
        <w:numPr>
          <w:ilvl w:val="2"/>
          <w:numId w:val="8"/>
        </w:numPr>
        <w:autoSpaceDE w:val="0"/>
        <w:autoSpaceDN w:val="0"/>
        <w:adjustRightInd w:val="0"/>
        <w:spacing w:after="240" w:line="360" w:lineRule="auto"/>
        <w:jc w:val="both"/>
        <w:rPr>
          <w:rFonts w:ascii="Arial" w:hAnsi="Arial" w:cs="Arial"/>
        </w:rPr>
      </w:pPr>
      <w:r w:rsidRPr="000F29B8">
        <w:rPr>
          <w:rFonts w:ascii="Arial" w:hAnsi="Arial" w:cs="Arial"/>
        </w:rPr>
        <w:t>Economy – minimising the cost of resources used or required (“spending less”);</w:t>
      </w:r>
    </w:p>
    <w:p w:rsidR="000F29B8" w:rsidRPr="000F29B8" w:rsidRDefault="000F29B8" w:rsidP="00F67B38">
      <w:pPr>
        <w:numPr>
          <w:ilvl w:val="2"/>
          <w:numId w:val="8"/>
        </w:numPr>
        <w:autoSpaceDE w:val="0"/>
        <w:autoSpaceDN w:val="0"/>
        <w:adjustRightInd w:val="0"/>
        <w:spacing w:after="240" w:line="360" w:lineRule="auto"/>
        <w:jc w:val="both"/>
        <w:rPr>
          <w:rFonts w:ascii="Arial" w:hAnsi="Arial" w:cs="Arial"/>
        </w:rPr>
      </w:pPr>
      <w:r w:rsidRPr="000F29B8">
        <w:rPr>
          <w:rFonts w:ascii="Arial" w:hAnsi="Arial" w:cs="Arial"/>
        </w:rPr>
        <w:t>Efficiency – the relationship between the output from goods or services and the resources to produce them (“spending well”);</w:t>
      </w:r>
    </w:p>
    <w:p w:rsidR="000F29B8" w:rsidRPr="000F29B8" w:rsidRDefault="000F29B8" w:rsidP="00F67B38">
      <w:pPr>
        <w:numPr>
          <w:ilvl w:val="2"/>
          <w:numId w:val="8"/>
        </w:numPr>
        <w:autoSpaceDE w:val="0"/>
        <w:autoSpaceDN w:val="0"/>
        <w:adjustRightInd w:val="0"/>
        <w:spacing w:after="240" w:line="360" w:lineRule="auto"/>
        <w:jc w:val="both"/>
        <w:rPr>
          <w:rFonts w:ascii="Arial" w:hAnsi="Arial" w:cs="Arial"/>
        </w:rPr>
      </w:pPr>
      <w:r w:rsidRPr="000F29B8">
        <w:rPr>
          <w:rFonts w:ascii="Arial" w:hAnsi="Arial" w:cs="Arial"/>
        </w:rPr>
        <w:t>Effectiveness – relationship between the intended and actual results of public spending (“spending wisely”); and</w:t>
      </w:r>
    </w:p>
    <w:p w:rsidR="000F29B8" w:rsidRPr="000F29B8" w:rsidRDefault="000F29B8" w:rsidP="00F67B38">
      <w:pPr>
        <w:numPr>
          <w:ilvl w:val="2"/>
          <w:numId w:val="8"/>
        </w:numPr>
        <w:autoSpaceDE w:val="0"/>
        <w:autoSpaceDN w:val="0"/>
        <w:adjustRightInd w:val="0"/>
        <w:spacing w:after="240" w:line="360" w:lineRule="auto"/>
        <w:jc w:val="both"/>
        <w:rPr>
          <w:rFonts w:ascii="Arial" w:hAnsi="Arial" w:cs="Arial"/>
        </w:rPr>
      </w:pPr>
      <w:r w:rsidRPr="000F29B8">
        <w:rPr>
          <w:rFonts w:ascii="Arial" w:hAnsi="Arial" w:cs="Arial"/>
        </w:rPr>
        <w:t xml:space="preserve">Equity – the extent to which services are available to and reach all people that they are intended to (“spending fairly”). </w:t>
      </w:r>
    </w:p>
    <w:p w:rsidR="000F29B8" w:rsidRPr="000F29B8" w:rsidRDefault="000F29B8" w:rsidP="00F67B38">
      <w:pPr>
        <w:numPr>
          <w:ilvl w:val="1"/>
          <w:numId w:val="2"/>
        </w:numPr>
        <w:autoSpaceDE w:val="0"/>
        <w:autoSpaceDN w:val="0"/>
        <w:adjustRightInd w:val="0"/>
        <w:spacing w:after="240" w:line="360" w:lineRule="auto"/>
        <w:ind w:left="567" w:hanging="567"/>
        <w:jc w:val="both"/>
        <w:rPr>
          <w:rFonts w:ascii="Arial" w:hAnsi="Arial" w:cs="Arial"/>
        </w:rPr>
      </w:pPr>
      <w:r w:rsidRPr="000F29B8">
        <w:rPr>
          <w:rFonts w:ascii="Arial" w:hAnsi="Arial" w:cs="Arial"/>
        </w:rPr>
        <w:t xml:space="preserve">The 2009 Rules were introduced </w:t>
      </w:r>
      <w:r w:rsidR="00373947" w:rsidRPr="000F29B8">
        <w:rPr>
          <w:rFonts w:ascii="Arial" w:hAnsi="Arial" w:cs="Arial"/>
        </w:rPr>
        <w:t xml:space="preserve">not only </w:t>
      </w:r>
      <w:r w:rsidRPr="000F29B8">
        <w:rPr>
          <w:rFonts w:ascii="Arial" w:hAnsi="Arial" w:cs="Arial"/>
        </w:rPr>
        <w:t>to improve forecasting and control of legal spending in respect of the re</w:t>
      </w:r>
      <w:r w:rsidR="00AA22F1">
        <w:rPr>
          <w:rFonts w:ascii="Arial" w:hAnsi="Arial" w:cs="Arial"/>
        </w:rPr>
        <w:t xml:space="preserve">levant proceedings, but also to </w:t>
      </w:r>
      <w:r w:rsidRPr="000F29B8">
        <w:rPr>
          <w:rFonts w:ascii="Arial" w:hAnsi="Arial" w:cs="Arial"/>
        </w:rPr>
        <w:t xml:space="preserve">provide a more economic and efficient system for processing payments.  This was achieved through a move towards standard fees, instead of the time-based and composite fees system previously in operation under the 1992 Rules.  Whilst the system underpinned by the 1992 Rules </w:t>
      </w:r>
      <w:r w:rsidR="00691519">
        <w:rPr>
          <w:rFonts w:ascii="Arial" w:hAnsi="Arial" w:cs="Arial"/>
        </w:rPr>
        <w:t>w</w:t>
      </w:r>
      <w:r w:rsidRPr="000F29B8">
        <w:rPr>
          <w:rFonts w:ascii="Arial" w:hAnsi="Arial" w:cs="Arial"/>
        </w:rPr>
        <w:t>ould prove to be administratively burdensome, the standard fee approach within the 2009 Rules was structured in order to allow for a more streamlined and efficient approach.</w:t>
      </w:r>
    </w:p>
    <w:p w:rsidR="000F29B8" w:rsidRDefault="000F29B8" w:rsidP="00F67B38">
      <w:pPr>
        <w:numPr>
          <w:ilvl w:val="1"/>
          <w:numId w:val="2"/>
        </w:numPr>
        <w:autoSpaceDE w:val="0"/>
        <w:autoSpaceDN w:val="0"/>
        <w:adjustRightInd w:val="0"/>
        <w:spacing w:after="240" w:line="360" w:lineRule="auto"/>
        <w:ind w:left="567" w:hanging="567"/>
        <w:jc w:val="both"/>
        <w:rPr>
          <w:rFonts w:ascii="Arial" w:hAnsi="Arial" w:cs="Arial"/>
        </w:rPr>
      </w:pPr>
      <w:r w:rsidRPr="000F29B8">
        <w:rPr>
          <w:rFonts w:ascii="Arial" w:hAnsi="Arial" w:cs="Arial"/>
        </w:rPr>
        <w:t xml:space="preserve">As previously mentioned, the scheme within the 2009 Rules includes a matrix of standard basic fees which vary according to the mode of the disposal of the case (guilty plea, contest or committal) and the nature of the offence charged, together with a range of fixed payments for specific tasks.  This standard fee structure implements the “swings and roundabouts” principle, whereby relatively straightforward cases may result in a relatively generous fee, whereas other more complex cases may not be as well remunerated.  The </w:t>
      </w:r>
      <w:r w:rsidR="00A37FC1">
        <w:rPr>
          <w:rFonts w:ascii="Arial" w:hAnsi="Arial" w:cs="Arial"/>
        </w:rPr>
        <w:t>DoJ</w:t>
      </w:r>
      <w:r w:rsidRPr="000F29B8">
        <w:rPr>
          <w:rFonts w:ascii="Arial" w:hAnsi="Arial" w:cs="Arial"/>
        </w:rPr>
        <w:t xml:space="preserve"> considers this approach to represent an effective</w:t>
      </w:r>
      <w:r w:rsidR="007A024E">
        <w:rPr>
          <w:rFonts w:ascii="Arial" w:hAnsi="Arial" w:cs="Arial"/>
        </w:rPr>
        <w:t xml:space="preserve"> and equitable</w:t>
      </w:r>
      <w:r w:rsidRPr="000F29B8">
        <w:rPr>
          <w:rFonts w:ascii="Arial" w:hAnsi="Arial" w:cs="Arial"/>
        </w:rPr>
        <w:t xml:space="preserve"> form of remuneration for the work undertaken at the magistrates’ court and the </w:t>
      </w:r>
      <w:r w:rsidR="00C10846">
        <w:rPr>
          <w:rFonts w:ascii="Arial" w:hAnsi="Arial" w:cs="Arial"/>
        </w:rPr>
        <w:t>C</w:t>
      </w:r>
      <w:r w:rsidRPr="000F29B8">
        <w:rPr>
          <w:rFonts w:ascii="Arial" w:hAnsi="Arial" w:cs="Arial"/>
        </w:rPr>
        <w:t xml:space="preserve">ounty </w:t>
      </w:r>
      <w:r w:rsidR="00373947">
        <w:rPr>
          <w:rFonts w:ascii="Arial" w:hAnsi="Arial" w:cs="Arial"/>
        </w:rPr>
        <w:t>C</w:t>
      </w:r>
      <w:r w:rsidRPr="000F29B8">
        <w:rPr>
          <w:rFonts w:ascii="Arial" w:hAnsi="Arial" w:cs="Arial"/>
        </w:rPr>
        <w:t xml:space="preserve">ourt on appeal.  </w:t>
      </w:r>
    </w:p>
    <w:p w:rsidR="00C95EB9" w:rsidRDefault="00D8760D" w:rsidP="00F67B38">
      <w:pPr>
        <w:numPr>
          <w:ilvl w:val="1"/>
          <w:numId w:val="2"/>
        </w:numPr>
        <w:autoSpaceDE w:val="0"/>
        <w:autoSpaceDN w:val="0"/>
        <w:adjustRightInd w:val="0"/>
        <w:spacing w:after="240" w:line="360" w:lineRule="auto"/>
        <w:ind w:left="567" w:hanging="567"/>
        <w:jc w:val="both"/>
        <w:rPr>
          <w:rFonts w:ascii="Arial" w:hAnsi="Arial" w:cs="Arial"/>
        </w:rPr>
      </w:pPr>
      <w:r w:rsidRPr="00D8760D">
        <w:rPr>
          <w:rFonts w:ascii="Arial" w:hAnsi="Arial" w:cs="Arial"/>
        </w:rPr>
        <w:t xml:space="preserve">In respect of the value for money of the 2009 Rules, </w:t>
      </w:r>
      <w:r>
        <w:rPr>
          <w:rFonts w:ascii="Arial" w:hAnsi="Arial" w:cs="Arial"/>
        </w:rPr>
        <w:t xml:space="preserve">an issue has arisen generally regarding criminal legal aid regarding the </w:t>
      </w:r>
      <w:r w:rsidR="00867C1C">
        <w:rPr>
          <w:rFonts w:ascii="Arial" w:hAnsi="Arial" w:cs="Arial"/>
        </w:rPr>
        <w:t>attendance at court</w:t>
      </w:r>
      <w:r>
        <w:rPr>
          <w:rFonts w:ascii="Arial" w:hAnsi="Arial" w:cs="Arial"/>
        </w:rPr>
        <w:t xml:space="preserve"> of </w:t>
      </w:r>
      <w:r w:rsidRPr="009A51E8">
        <w:rPr>
          <w:rFonts w:ascii="Arial" w:hAnsi="Arial" w:cs="Arial"/>
          <w:b/>
          <w:u w:val="single"/>
        </w:rPr>
        <w:t>paralegals and ‘other fee earners’</w:t>
      </w:r>
      <w:r>
        <w:rPr>
          <w:rFonts w:ascii="Arial" w:hAnsi="Arial" w:cs="Arial"/>
        </w:rPr>
        <w:t xml:space="preserve"> in place of a qualified solicitor.  </w:t>
      </w:r>
      <w:r w:rsidR="00E27F5B">
        <w:rPr>
          <w:rFonts w:ascii="Arial" w:hAnsi="Arial" w:cs="Arial"/>
        </w:rPr>
        <w:t xml:space="preserve">Whilst </w:t>
      </w:r>
      <w:r w:rsidR="006046FF">
        <w:rPr>
          <w:rFonts w:ascii="Arial" w:hAnsi="Arial" w:cs="Arial"/>
        </w:rPr>
        <w:t xml:space="preserve">anecdotally it </w:t>
      </w:r>
      <w:r w:rsidR="00E27F5B">
        <w:rPr>
          <w:rFonts w:ascii="Arial" w:hAnsi="Arial" w:cs="Arial"/>
        </w:rPr>
        <w:t xml:space="preserve">would appear to be primarily an issue at the Crown Court, it is a relevant matter to be considered when reviewing remuneration arrangements at all criminal court tiers.   </w:t>
      </w:r>
      <w:r w:rsidR="00373947">
        <w:rPr>
          <w:rFonts w:ascii="Arial" w:hAnsi="Arial" w:cs="Arial"/>
        </w:rPr>
        <w:t>We do not currently have any evidence of non-qualified staff attending the magistrates’ court and there is no provision in the Rules to remunerate any work done at court by non-qualified staff.  If it is appropriate for work to be undertaken by such staff, then more appropriate remuneration arrangements would be required.</w:t>
      </w:r>
    </w:p>
    <w:p w:rsidR="006046FF" w:rsidRPr="00D8760D" w:rsidRDefault="006046FF" w:rsidP="00F67B38">
      <w:pPr>
        <w:numPr>
          <w:ilvl w:val="1"/>
          <w:numId w:val="2"/>
        </w:numPr>
        <w:autoSpaceDE w:val="0"/>
        <w:autoSpaceDN w:val="0"/>
        <w:adjustRightInd w:val="0"/>
        <w:spacing w:after="240" w:line="360" w:lineRule="auto"/>
        <w:ind w:left="567" w:hanging="567"/>
        <w:jc w:val="both"/>
        <w:rPr>
          <w:rFonts w:ascii="Arial" w:hAnsi="Arial" w:cs="Arial"/>
        </w:rPr>
      </w:pPr>
      <w:r w:rsidRPr="006046FF">
        <w:rPr>
          <w:rFonts w:ascii="Arial" w:hAnsi="Arial" w:cs="Arial"/>
          <w:b/>
        </w:rPr>
        <w:t xml:space="preserve">The </w:t>
      </w:r>
      <w:r w:rsidR="00A37FC1">
        <w:rPr>
          <w:rFonts w:ascii="Arial" w:hAnsi="Arial" w:cs="Arial"/>
          <w:b/>
        </w:rPr>
        <w:t>DoJ</w:t>
      </w:r>
      <w:r w:rsidRPr="006046FF">
        <w:rPr>
          <w:rFonts w:ascii="Arial" w:hAnsi="Arial" w:cs="Arial"/>
          <w:b/>
        </w:rPr>
        <w:t xml:space="preserve"> would welcome views from stakeholders regarding</w:t>
      </w:r>
      <w:r>
        <w:rPr>
          <w:rFonts w:ascii="Arial" w:hAnsi="Arial" w:cs="Arial"/>
          <w:b/>
        </w:rPr>
        <w:t xml:space="preserve"> this issue, and in particular </w:t>
      </w:r>
      <w:r w:rsidR="002A60EE">
        <w:rPr>
          <w:rFonts w:ascii="Arial" w:hAnsi="Arial" w:cs="Arial"/>
          <w:b/>
        </w:rPr>
        <w:t xml:space="preserve">any available </w:t>
      </w:r>
      <w:r>
        <w:rPr>
          <w:rFonts w:ascii="Arial" w:hAnsi="Arial" w:cs="Arial"/>
          <w:b/>
        </w:rPr>
        <w:t xml:space="preserve">evidence </w:t>
      </w:r>
      <w:r w:rsidR="002A60EE">
        <w:rPr>
          <w:rFonts w:ascii="Arial" w:hAnsi="Arial" w:cs="Arial"/>
          <w:b/>
        </w:rPr>
        <w:t>regarding the involvement of paralegals or ‘other fee earners’ at the magistrates’ court or County Court on appeal.</w:t>
      </w:r>
    </w:p>
    <w:p w:rsidR="001D3073" w:rsidRPr="001A2487" w:rsidRDefault="001D3073" w:rsidP="00F67B38">
      <w:pPr>
        <w:autoSpaceDE w:val="0"/>
        <w:autoSpaceDN w:val="0"/>
        <w:adjustRightInd w:val="0"/>
        <w:spacing w:after="240" w:line="360" w:lineRule="auto"/>
        <w:ind w:left="567"/>
        <w:jc w:val="both"/>
        <w:rPr>
          <w:rFonts w:ascii="Arial" w:hAnsi="Arial" w:cs="Arial"/>
          <w:b/>
          <w:i/>
        </w:rPr>
      </w:pPr>
      <w:r w:rsidRPr="001A2487">
        <w:rPr>
          <w:rFonts w:ascii="Arial" w:hAnsi="Arial" w:cs="Arial"/>
          <w:b/>
          <w:i/>
        </w:rPr>
        <w:t>Omissions</w:t>
      </w:r>
    </w:p>
    <w:p w:rsidR="006B30A5" w:rsidRPr="006B4579" w:rsidRDefault="006B30A5" w:rsidP="00F67B38">
      <w:pPr>
        <w:numPr>
          <w:ilvl w:val="1"/>
          <w:numId w:val="2"/>
        </w:numPr>
        <w:autoSpaceDE w:val="0"/>
        <w:autoSpaceDN w:val="0"/>
        <w:adjustRightInd w:val="0"/>
        <w:spacing w:after="240" w:line="360" w:lineRule="auto"/>
        <w:ind w:left="567" w:hanging="567"/>
        <w:jc w:val="both"/>
        <w:rPr>
          <w:rFonts w:ascii="Arial" w:hAnsi="Arial" w:cs="Arial"/>
        </w:rPr>
      </w:pPr>
      <w:r w:rsidRPr="006B4579">
        <w:rPr>
          <w:rFonts w:ascii="Arial" w:hAnsi="Arial" w:cs="Arial"/>
        </w:rPr>
        <w:t xml:space="preserve">The </w:t>
      </w:r>
      <w:r w:rsidR="00A37FC1">
        <w:rPr>
          <w:rFonts w:ascii="Arial" w:hAnsi="Arial" w:cs="Arial"/>
        </w:rPr>
        <w:t>DoJ</w:t>
      </w:r>
      <w:r w:rsidRPr="006B4579">
        <w:rPr>
          <w:rFonts w:ascii="Arial" w:hAnsi="Arial" w:cs="Arial"/>
        </w:rPr>
        <w:t xml:space="preserve">, </w:t>
      </w:r>
      <w:r w:rsidR="00C10846">
        <w:rPr>
          <w:rFonts w:ascii="Arial" w:hAnsi="Arial" w:cs="Arial"/>
        </w:rPr>
        <w:t>following engagement</w:t>
      </w:r>
      <w:r w:rsidRPr="006B4579">
        <w:rPr>
          <w:rFonts w:ascii="Arial" w:hAnsi="Arial" w:cs="Arial"/>
        </w:rPr>
        <w:t xml:space="preserve"> with stakeholders, has identified a number of potential omissions from the 2009 Rules on which it would we</w:t>
      </w:r>
      <w:r w:rsidR="006B4579" w:rsidRPr="006B4579">
        <w:rPr>
          <w:rFonts w:ascii="Arial" w:hAnsi="Arial" w:cs="Arial"/>
        </w:rPr>
        <w:t xml:space="preserve">lcome feedback.  Furthermore, the </w:t>
      </w:r>
      <w:r w:rsidR="00A37FC1">
        <w:rPr>
          <w:rFonts w:ascii="Arial" w:hAnsi="Arial" w:cs="Arial"/>
        </w:rPr>
        <w:t>DoJ</w:t>
      </w:r>
      <w:r w:rsidR="006B4579" w:rsidRPr="006B4579">
        <w:rPr>
          <w:rFonts w:ascii="Arial" w:hAnsi="Arial" w:cs="Arial"/>
        </w:rPr>
        <w:t xml:space="preserve"> would welcome information regarding any other potential omissions from the Rules which may need to be addressed.  </w:t>
      </w:r>
    </w:p>
    <w:p w:rsidR="00D61CF0" w:rsidRPr="006541FE" w:rsidRDefault="004F2C72" w:rsidP="00F67B38">
      <w:pPr>
        <w:numPr>
          <w:ilvl w:val="1"/>
          <w:numId w:val="2"/>
        </w:numPr>
        <w:autoSpaceDE w:val="0"/>
        <w:autoSpaceDN w:val="0"/>
        <w:adjustRightInd w:val="0"/>
        <w:spacing w:after="240" w:line="360" w:lineRule="auto"/>
        <w:ind w:left="567" w:hanging="567"/>
        <w:jc w:val="both"/>
        <w:rPr>
          <w:rFonts w:ascii="Arial" w:hAnsi="Arial" w:cs="Arial"/>
        </w:rPr>
      </w:pPr>
      <w:r w:rsidRPr="006541FE">
        <w:rPr>
          <w:rFonts w:ascii="Arial" w:hAnsi="Arial" w:cs="Arial"/>
        </w:rPr>
        <w:t xml:space="preserve">Paragraph 14 of schedule 1 to the magistrates’ court rules provides for a fixed fee of £75 in respect of certain </w:t>
      </w:r>
      <w:r w:rsidRPr="009A51E8">
        <w:rPr>
          <w:rFonts w:ascii="Arial" w:hAnsi="Arial" w:cs="Arial"/>
          <w:b/>
          <w:u w:val="single"/>
        </w:rPr>
        <w:t>applications</w:t>
      </w:r>
      <w:r w:rsidRPr="006541FE">
        <w:rPr>
          <w:rFonts w:ascii="Arial" w:hAnsi="Arial" w:cs="Arial"/>
        </w:rPr>
        <w:t xml:space="preserve">.  These include applications for bad character, specials measures, and witness anonymity.  </w:t>
      </w:r>
      <w:r w:rsidRPr="006541FE">
        <w:rPr>
          <w:rFonts w:ascii="Arial" w:hAnsi="Arial" w:cs="Arial"/>
          <w:b/>
        </w:rPr>
        <w:t>T</w:t>
      </w:r>
      <w:r w:rsidR="006541FE" w:rsidRPr="006541FE">
        <w:rPr>
          <w:rFonts w:ascii="Arial" w:hAnsi="Arial" w:cs="Arial"/>
          <w:b/>
        </w:rPr>
        <w:t xml:space="preserve">he </w:t>
      </w:r>
      <w:r w:rsidR="00A37FC1">
        <w:rPr>
          <w:rFonts w:ascii="Arial" w:hAnsi="Arial" w:cs="Arial"/>
          <w:b/>
        </w:rPr>
        <w:t>DoJ</w:t>
      </w:r>
      <w:r w:rsidR="006541FE" w:rsidRPr="006541FE">
        <w:rPr>
          <w:rFonts w:ascii="Arial" w:hAnsi="Arial" w:cs="Arial"/>
          <w:b/>
        </w:rPr>
        <w:t xml:space="preserve"> remains in favour of adding to the list </w:t>
      </w:r>
      <w:r w:rsidR="00C828A1">
        <w:rPr>
          <w:rFonts w:ascii="Arial" w:hAnsi="Arial" w:cs="Arial"/>
          <w:b/>
        </w:rPr>
        <w:t xml:space="preserve">of applications </w:t>
      </w:r>
      <w:r w:rsidR="006541FE" w:rsidRPr="006541FE">
        <w:rPr>
          <w:rFonts w:ascii="Arial" w:hAnsi="Arial" w:cs="Arial"/>
          <w:b/>
        </w:rPr>
        <w:t xml:space="preserve">at </w:t>
      </w:r>
      <w:r w:rsidR="00C828A1">
        <w:rPr>
          <w:rFonts w:ascii="Arial" w:hAnsi="Arial" w:cs="Arial"/>
          <w:b/>
        </w:rPr>
        <w:t xml:space="preserve">Schedule 1 </w:t>
      </w:r>
      <w:r w:rsidR="006541FE" w:rsidRPr="006541FE">
        <w:rPr>
          <w:rFonts w:ascii="Arial" w:hAnsi="Arial" w:cs="Arial"/>
          <w:b/>
        </w:rPr>
        <w:t>paragraph 14 should the need arise, rather than introducing a general application fee within the Rules, and would therefore welcome feedback from stakeholders regarding any additional application</w:t>
      </w:r>
      <w:r w:rsidR="00CE6963">
        <w:rPr>
          <w:rFonts w:ascii="Arial" w:hAnsi="Arial" w:cs="Arial"/>
          <w:b/>
        </w:rPr>
        <w:t>s</w:t>
      </w:r>
      <w:r w:rsidR="006541FE" w:rsidRPr="006541FE">
        <w:rPr>
          <w:rFonts w:ascii="Arial" w:hAnsi="Arial" w:cs="Arial"/>
          <w:b/>
        </w:rPr>
        <w:t xml:space="preserve"> which should be included.</w:t>
      </w:r>
    </w:p>
    <w:p w:rsidR="00373947" w:rsidRPr="00F67B38" w:rsidRDefault="006541FE" w:rsidP="00F67B38">
      <w:pPr>
        <w:numPr>
          <w:ilvl w:val="1"/>
          <w:numId w:val="2"/>
        </w:numPr>
        <w:autoSpaceDE w:val="0"/>
        <w:autoSpaceDN w:val="0"/>
        <w:adjustRightInd w:val="0"/>
        <w:spacing w:after="240" w:line="360" w:lineRule="auto"/>
        <w:ind w:left="567" w:hanging="567"/>
        <w:jc w:val="both"/>
        <w:rPr>
          <w:rFonts w:ascii="Arial" w:hAnsi="Arial" w:cs="Arial"/>
        </w:rPr>
      </w:pPr>
      <w:r w:rsidRPr="00373947">
        <w:rPr>
          <w:rFonts w:ascii="Arial" w:hAnsi="Arial" w:cs="Arial"/>
        </w:rPr>
        <w:t>In respect of the applications covered by the fixed fee at paragraph 14, stakehol</w:t>
      </w:r>
      <w:r w:rsidRPr="00F67B38">
        <w:rPr>
          <w:rFonts w:ascii="Arial" w:hAnsi="Arial" w:cs="Arial"/>
        </w:rPr>
        <w:t xml:space="preserve">ders have </w:t>
      </w:r>
      <w:r w:rsidR="00BC716C" w:rsidRPr="00F67B38">
        <w:rPr>
          <w:rFonts w:ascii="Arial" w:hAnsi="Arial" w:cs="Arial"/>
        </w:rPr>
        <w:t>suggested</w:t>
      </w:r>
      <w:r w:rsidRPr="00F67B38">
        <w:rPr>
          <w:rFonts w:ascii="Arial" w:hAnsi="Arial" w:cs="Arial"/>
        </w:rPr>
        <w:t xml:space="preserve"> that the</w:t>
      </w:r>
      <w:r w:rsidR="00C828A1" w:rsidRPr="00F67B38">
        <w:rPr>
          <w:rFonts w:ascii="Arial" w:hAnsi="Arial" w:cs="Arial"/>
        </w:rPr>
        <w:t>s</w:t>
      </w:r>
      <w:r w:rsidRPr="00F67B38">
        <w:rPr>
          <w:rFonts w:ascii="Arial" w:hAnsi="Arial" w:cs="Arial"/>
        </w:rPr>
        <w:t xml:space="preserve">e fees do not currently apply to the County Court on appeal, and are only available for magistrates’ court proceedings.  </w:t>
      </w:r>
      <w:r w:rsidR="00373947" w:rsidRPr="00F67B38">
        <w:rPr>
          <w:rFonts w:ascii="Arial" w:hAnsi="Arial" w:cs="Arial"/>
        </w:rPr>
        <w:t xml:space="preserve">Similarly, stakeholders have also suggested that the fees for the hearing of certain bail applications at the magistrates’ courts, </w:t>
      </w:r>
      <w:r w:rsidR="00F67B38">
        <w:rPr>
          <w:rFonts w:ascii="Arial" w:hAnsi="Arial" w:cs="Arial"/>
        </w:rPr>
        <w:t>provided for by</w:t>
      </w:r>
      <w:r w:rsidR="00373947" w:rsidRPr="00F67B38">
        <w:rPr>
          <w:rFonts w:ascii="Arial" w:hAnsi="Arial" w:cs="Arial"/>
        </w:rPr>
        <w:t xml:space="preserve"> paragraph 6, are not available at the County Court on appeal. </w:t>
      </w:r>
    </w:p>
    <w:p w:rsidR="006541FE" w:rsidRPr="00456595" w:rsidRDefault="00373947" w:rsidP="00F67B38">
      <w:pPr>
        <w:numPr>
          <w:ilvl w:val="1"/>
          <w:numId w:val="2"/>
        </w:numPr>
        <w:autoSpaceDE w:val="0"/>
        <w:autoSpaceDN w:val="0"/>
        <w:adjustRightInd w:val="0"/>
        <w:spacing w:after="240" w:line="360" w:lineRule="auto"/>
        <w:ind w:left="567" w:hanging="567"/>
        <w:jc w:val="both"/>
        <w:rPr>
          <w:rFonts w:ascii="Arial" w:hAnsi="Arial" w:cs="Arial"/>
          <w:b/>
        </w:rPr>
      </w:pPr>
      <w:r w:rsidRPr="00456595">
        <w:rPr>
          <w:rFonts w:ascii="Arial" w:hAnsi="Arial" w:cs="Arial"/>
          <w:b/>
        </w:rPr>
        <w:t xml:space="preserve">The DoJ can confirm that these fixed fees apply to applications made at the magistrates’ court and the County Court on appeal.  </w:t>
      </w:r>
      <w:r w:rsidR="002947A0" w:rsidRPr="00456595">
        <w:rPr>
          <w:rFonts w:ascii="Arial" w:hAnsi="Arial" w:cs="Arial"/>
          <w:b/>
        </w:rPr>
        <w:t xml:space="preserve">The Legal Services Agency </w:t>
      </w:r>
      <w:r w:rsidR="005919D5" w:rsidRPr="00456595">
        <w:rPr>
          <w:rFonts w:ascii="Arial" w:hAnsi="Arial" w:cs="Arial"/>
          <w:b/>
        </w:rPr>
        <w:t xml:space="preserve">(LSA) </w:t>
      </w:r>
      <w:r w:rsidR="002947A0" w:rsidRPr="00456595">
        <w:rPr>
          <w:rFonts w:ascii="Arial" w:hAnsi="Arial" w:cs="Arial"/>
          <w:b/>
        </w:rPr>
        <w:t xml:space="preserve">also intends to issue a circular to clarify any misunderstanding in </w:t>
      </w:r>
      <w:r w:rsidR="00456595" w:rsidRPr="00456595">
        <w:rPr>
          <w:rFonts w:ascii="Arial" w:hAnsi="Arial" w:cs="Arial"/>
          <w:b/>
        </w:rPr>
        <w:t>this regard.</w:t>
      </w:r>
      <w:r w:rsidR="006541FE" w:rsidRPr="00456595">
        <w:rPr>
          <w:rFonts w:ascii="Arial" w:hAnsi="Arial" w:cs="Arial"/>
          <w:b/>
        </w:rPr>
        <w:t xml:space="preserve"> </w:t>
      </w:r>
    </w:p>
    <w:p w:rsidR="007B2607" w:rsidRPr="004F2C72" w:rsidRDefault="007B2607" w:rsidP="00F67B38">
      <w:pPr>
        <w:numPr>
          <w:ilvl w:val="1"/>
          <w:numId w:val="2"/>
        </w:numPr>
        <w:autoSpaceDE w:val="0"/>
        <w:autoSpaceDN w:val="0"/>
        <w:adjustRightInd w:val="0"/>
        <w:spacing w:after="240" w:line="360" w:lineRule="auto"/>
        <w:ind w:left="567" w:hanging="567"/>
        <w:jc w:val="both"/>
        <w:rPr>
          <w:rFonts w:ascii="Arial" w:hAnsi="Arial" w:cs="Arial"/>
        </w:rPr>
      </w:pPr>
      <w:r w:rsidRPr="004F2C72">
        <w:rPr>
          <w:rFonts w:ascii="Arial" w:hAnsi="Arial" w:cs="Arial"/>
        </w:rPr>
        <w:t xml:space="preserve">During the course of the Review, the </w:t>
      </w:r>
      <w:r w:rsidR="00A37FC1">
        <w:rPr>
          <w:rFonts w:ascii="Arial" w:hAnsi="Arial" w:cs="Arial"/>
        </w:rPr>
        <w:t>DoJ</w:t>
      </w:r>
      <w:r w:rsidRPr="004F2C72">
        <w:rPr>
          <w:rFonts w:ascii="Arial" w:hAnsi="Arial" w:cs="Arial"/>
        </w:rPr>
        <w:t xml:space="preserve"> has received feedback regarding remuneration arrangements for </w:t>
      </w:r>
      <w:r w:rsidR="00906DD6">
        <w:rPr>
          <w:rFonts w:ascii="Arial" w:hAnsi="Arial" w:cs="Arial"/>
        </w:rPr>
        <w:t xml:space="preserve">hearings relating to </w:t>
      </w:r>
      <w:r w:rsidRPr="004F2C72">
        <w:rPr>
          <w:rFonts w:ascii="Arial" w:hAnsi="Arial" w:cs="Arial"/>
        </w:rPr>
        <w:t xml:space="preserve">certain </w:t>
      </w:r>
      <w:r w:rsidRPr="009A51E8">
        <w:rPr>
          <w:rFonts w:ascii="Arial" w:hAnsi="Arial" w:cs="Arial"/>
          <w:b/>
          <w:u w:val="single"/>
        </w:rPr>
        <w:t>prohibited behaviour orders</w:t>
      </w:r>
      <w:r w:rsidRPr="009A51E8">
        <w:rPr>
          <w:rFonts w:ascii="Arial" w:hAnsi="Arial" w:cs="Arial"/>
          <w:b/>
        </w:rPr>
        <w:t xml:space="preserve"> </w:t>
      </w:r>
      <w:r w:rsidR="006C2F81">
        <w:rPr>
          <w:rFonts w:ascii="Arial" w:hAnsi="Arial" w:cs="Arial"/>
        </w:rPr>
        <w:t xml:space="preserve">made </w:t>
      </w:r>
      <w:r w:rsidR="00C73DAC">
        <w:rPr>
          <w:rFonts w:ascii="Arial" w:hAnsi="Arial" w:cs="Arial"/>
        </w:rPr>
        <w:t xml:space="preserve">in criminal </w:t>
      </w:r>
      <w:r w:rsidR="00906DD6">
        <w:rPr>
          <w:rFonts w:ascii="Arial" w:hAnsi="Arial" w:cs="Arial"/>
        </w:rPr>
        <w:t xml:space="preserve">cases </w:t>
      </w:r>
      <w:r w:rsidRPr="004F2C72">
        <w:rPr>
          <w:rFonts w:ascii="Arial" w:hAnsi="Arial" w:cs="Arial"/>
        </w:rPr>
        <w:t>at the magistrates’ court, including:</w:t>
      </w:r>
    </w:p>
    <w:p w:rsidR="007B2607" w:rsidRPr="004F2C72" w:rsidRDefault="007B2607" w:rsidP="00F67B38">
      <w:pPr>
        <w:numPr>
          <w:ilvl w:val="2"/>
          <w:numId w:val="2"/>
        </w:numPr>
        <w:autoSpaceDE w:val="0"/>
        <w:autoSpaceDN w:val="0"/>
        <w:adjustRightInd w:val="0"/>
        <w:spacing w:after="240" w:line="360" w:lineRule="auto"/>
        <w:jc w:val="both"/>
        <w:rPr>
          <w:rFonts w:ascii="Arial" w:hAnsi="Arial" w:cs="Arial"/>
        </w:rPr>
      </w:pPr>
      <w:r w:rsidRPr="004F2C72">
        <w:rPr>
          <w:rFonts w:ascii="Arial" w:hAnsi="Arial" w:cs="Arial"/>
        </w:rPr>
        <w:t>Restraining Orders;</w:t>
      </w:r>
    </w:p>
    <w:p w:rsidR="007B2607" w:rsidRPr="004F2C72" w:rsidRDefault="007B2607" w:rsidP="00F67B38">
      <w:pPr>
        <w:numPr>
          <w:ilvl w:val="2"/>
          <w:numId w:val="2"/>
        </w:numPr>
        <w:autoSpaceDE w:val="0"/>
        <w:autoSpaceDN w:val="0"/>
        <w:adjustRightInd w:val="0"/>
        <w:spacing w:after="240" w:line="360" w:lineRule="auto"/>
        <w:jc w:val="both"/>
        <w:rPr>
          <w:rFonts w:ascii="Arial" w:hAnsi="Arial" w:cs="Arial"/>
        </w:rPr>
      </w:pPr>
      <w:r w:rsidRPr="004F2C72">
        <w:rPr>
          <w:rFonts w:ascii="Arial" w:hAnsi="Arial" w:cs="Arial"/>
        </w:rPr>
        <w:t>Anti-Social Behaviour Orders</w:t>
      </w:r>
      <w:r>
        <w:rPr>
          <w:rFonts w:ascii="Arial" w:hAnsi="Arial" w:cs="Arial"/>
        </w:rPr>
        <w:t xml:space="preserve"> (ASBOs)</w:t>
      </w:r>
      <w:r w:rsidRPr="004F2C72">
        <w:rPr>
          <w:rFonts w:ascii="Arial" w:hAnsi="Arial" w:cs="Arial"/>
        </w:rPr>
        <w:t>;</w:t>
      </w:r>
    </w:p>
    <w:p w:rsidR="007B2607" w:rsidRDefault="007B2607" w:rsidP="00F67B38">
      <w:pPr>
        <w:numPr>
          <w:ilvl w:val="2"/>
          <w:numId w:val="2"/>
        </w:numPr>
        <w:autoSpaceDE w:val="0"/>
        <w:autoSpaceDN w:val="0"/>
        <w:adjustRightInd w:val="0"/>
        <w:spacing w:after="240" w:line="360" w:lineRule="auto"/>
        <w:jc w:val="both"/>
        <w:rPr>
          <w:rFonts w:ascii="Arial" w:hAnsi="Arial" w:cs="Arial"/>
        </w:rPr>
      </w:pPr>
      <w:r w:rsidRPr="004F2C72">
        <w:rPr>
          <w:rFonts w:ascii="Arial" w:hAnsi="Arial" w:cs="Arial"/>
        </w:rPr>
        <w:t>Football Banning Orders</w:t>
      </w:r>
      <w:r>
        <w:rPr>
          <w:rFonts w:ascii="Arial" w:hAnsi="Arial" w:cs="Arial"/>
        </w:rPr>
        <w:t xml:space="preserve"> (FBOs)</w:t>
      </w:r>
      <w:r w:rsidRPr="004F2C72">
        <w:rPr>
          <w:rFonts w:ascii="Arial" w:hAnsi="Arial" w:cs="Arial"/>
        </w:rPr>
        <w:t>;</w:t>
      </w:r>
    </w:p>
    <w:p w:rsidR="007B2607" w:rsidRDefault="007B2607" w:rsidP="00F67B38">
      <w:pPr>
        <w:numPr>
          <w:ilvl w:val="2"/>
          <w:numId w:val="2"/>
        </w:numPr>
        <w:autoSpaceDE w:val="0"/>
        <w:autoSpaceDN w:val="0"/>
        <w:adjustRightInd w:val="0"/>
        <w:spacing w:after="240" w:line="360" w:lineRule="auto"/>
        <w:jc w:val="both"/>
        <w:rPr>
          <w:rFonts w:ascii="Arial" w:hAnsi="Arial" w:cs="Arial"/>
        </w:rPr>
      </w:pPr>
      <w:r w:rsidRPr="00773A2A">
        <w:rPr>
          <w:rFonts w:ascii="Arial" w:hAnsi="Arial" w:cs="Arial"/>
        </w:rPr>
        <w:t>Female Genital Mutilation Protection Orders</w:t>
      </w:r>
      <w:r>
        <w:rPr>
          <w:rFonts w:ascii="Arial" w:hAnsi="Arial" w:cs="Arial"/>
        </w:rPr>
        <w:t xml:space="preserve"> (FGMPOs);</w:t>
      </w:r>
    </w:p>
    <w:p w:rsidR="007B2607" w:rsidRPr="004F2C72" w:rsidRDefault="007B2607" w:rsidP="00F67B38">
      <w:pPr>
        <w:numPr>
          <w:ilvl w:val="2"/>
          <w:numId w:val="2"/>
        </w:numPr>
        <w:autoSpaceDE w:val="0"/>
        <w:autoSpaceDN w:val="0"/>
        <w:adjustRightInd w:val="0"/>
        <w:spacing w:after="240" w:line="360" w:lineRule="auto"/>
        <w:jc w:val="both"/>
        <w:rPr>
          <w:rFonts w:ascii="Arial" w:hAnsi="Arial" w:cs="Arial"/>
        </w:rPr>
      </w:pPr>
      <w:r w:rsidRPr="004F2C72">
        <w:rPr>
          <w:rFonts w:ascii="Arial" w:hAnsi="Arial" w:cs="Arial"/>
        </w:rPr>
        <w:t>Violent Offences Prevention Orders</w:t>
      </w:r>
      <w:r>
        <w:rPr>
          <w:rFonts w:ascii="Arial" w:hAnsi="Arial" w:cs="Arial"/>
        </w:rPr>
        <w:t xml:space="preserve"> (VOPOs)</w:t>
      </w:r>
      <w:r w:rsidRPr="004F2C72">
        <w:rPr>
          <w:rFonts w:ascii="Arial" w:hAnsi="Arial" w:cs="Arial"/>
        </w:rPr>
        <w:t xml:space="preserve">; </w:t>
      </w:r>
    </w:p>
    <w:p w:rsidR="007B2607" w:rsidRDefault="007B2607" w:rsidP="00F67B38">
      <w:pPr>
        <w:numPr>
          <w:ilvl w:val="2"/>
          <w:numId w:val="2"/>
        </w:numPr>
        <w:autoSpaceDE w:val="0"/>
        <w:autoSpaceDN w:val="0"/>
        <w:adjustRightInd w:val="0"/>
        <w:spacing w:after="240" w:line="360" w:lineRule="auto"/>
        <w:jc w:val="both"/>
        <w:rPr>
          <w:rFonts w:ascii="Arial" w:hAnsi="Arial" w:cs="Arial"/>
        </w:rPr>
      </w:pPr>
      <w:r w:rsidRPr="004F2C72">
        <w:rPr>
          <w:rFonts w:ascii="Arial" w:hAnsi="Arial" w:cs="Arial"/>
        </w:rPr>
        <w:t>Sexual Offences Prevention Orders</w:t>
      </w:r>
      <w:r>
        <w:rPr>
          <w:rFonts w:ascii="Arial" w:hAnsi="Arial" w:cs="Arial"/>
        </w:rPr>
        <w:t xml:space="preserve"> (SOPOs)</w:t>
      </w:r>
      <w:r w:rsidR="005814B0">
        <w:rPr>
          <w:rFonts w:ascii="Arial" w:hAnsi="Arial" w:cs="Arial"/>
        </w:rPr>
        <w:t xml:space="preserve">; </w:t>
      </w:r>
      <w:r w:rsidR="005814B0" w:rsidRPr="004F2C72">
        <w:rPr>
          <w:rFonts w:ascii="Arial" w:hAnsi="Arial" w:cs="Arial"/>
        </w:rPr>
        <w:t>and</w:t>
      </w:r>
    </w:p>
    <w:p w:rsidR="005814B0" w:rsidRPr="004F2C72" w:rsidRDefault="005814B0" w:rsidP="00F67B38">
      <w:pPr>
        <w:numPr>
          <w:ilvl w:val="2"/>
          <w:numId w:val="2"/>
        </w:numPr>
        <w:autoSpaceDE w:val="0"/>
        <w:autoSpaceDN w:val="0"/>
        <w:adjustRightInd w:val="0"/>
        <w:spacing w:after="240" w:line="360" w:lineRule="auto"/>
        <w:jc w:val="both"/>
        <w:rPr>
          <w:rFonts w:ascii="Arial" w:hAnsi="Arial" w:cs="Arial"/>
        </w:rPr>
      </w:pPr>
      <w:r>
        <w:rPr>
          <w:rFonts w:ascii="Arial" w:hAnsi="Arial" w:cs="Arial"/>
        </w:rPr>
        <w:t>Slavery and Trafficking Prevention Orders (STPOs).</w:t>
      </w:r>
    </w:p>
    <w:p w:rsidR="007B2607" w:rsidRDefault="007B2607" w:rsidP="00F67B38">
      <w:pPr>
        <w:numPr>
          <w:ilvl w:val="1"/>
          <w:numId w:val="2"/>
        </w:numPr>
        <w:autoSpaceDE w:val="0"/>
        <w:autoSpaceDN w:val="0"/>
        <w:adjustRightInd w:val="0"/>
        <w:spacing w:after="240" w:line="360" w:lineRule="auto"/>
        <w:ind w:left="567" w:hanging="567"/>
        <w:jc w:val="both"/>
        <w:rPr>
          <w:rFonts w:ascii="Arial" w:hAnsi="Arial" w:cs="Arial"/>
        </w:rPr>
      </w:pPr>
      <w:r>
        <w:rPr>
          <w:rFonts w:ascii="Arial" w:hAnsi="Arial" w:cs="Arial"/>
        </w:rPr>
        <w:t xml:space="preserve">These orders can be made on conviction for certain offences in the magistrates’ court or, in some circumstances, even on acquittal.  </w:t>
      </w:r>
    </w:p>
    <w:p w:rsidR="007B2607" w:rsidRPr="00773A2A" w:rsidRDefault="007B2607" w:rsidP="00F67B38">
      <w:pPr>
        <w:numPr>
          <w:ilvl w:val="1"/>
          <w:numId w:val="2"/>
        </w:numPr>
        <w:autoSpaceDE w:val="0"/>
        <w:autoSpaceDN w:val="0"/>
        <w:adjustRightInd w:val="0"/>
        <w:spacing w:after="240" w:line="360" w:lineRule="auto"/>
        <w:ind w:left="567" w:hanging="567"/>
        <w:jc w:val="both"/>
        <w:rPr>
          <w:rFonts w:ascii="Arial" w:hAnsi="Arial" w:cs="Arial"/>
        </w:rPr>
      </w:pPr>
      <w:r>
        <w:rPr>
          <w:rFonts w:ascii="Arial" w:hAnsi="Arial" w:cs="Arial"/>
        </w:rPr>
        <w:t xml:space="preserve">VOPOs and </w:t>
      </w:r>
      <w:r w:rsidRPr="00773A2A">
        <w:rPr>
          <w:rFonts w:ascii="Arial" w:hAnsi="Arial" w:cs="Arial"/>
        </w:rPr>
        <w:t>SOPOs, introduced under the Justice Act (NI) 2015</w:t>
      </w:r>
      <w:r w:rsidRPr="001A2487">
        <w:rPr>
          <w:rFonts w:ascii="Arial" w:hAnsi="Arial" w:cs="Arial"/>
          <w:b/>
          <w:vertAlign w:val="superscript"/>
        </w:rPr>
        <w:footnoteReference w:id="10"/>
      </w:r>
      <w:r w:rsidRPr="001A2487">
        <w:rPr>
          <w:rFonts w:ascii="Arial" w:hAnsi="Arial" w:cs="Arial"/>
          <w:b/>
        </w:rPr>
        <w:t xml:space="preserve"> </w:t>
      </w:r>
      <w:r w:rsidRPr="00773A2A">
        <w:rPr>
          <w:rFonts w:ascii="Arial" w:hAnsi="Arial" w:cs="Arial"/>
        </w:rPr>
        <w:t>and the Sexual Offences Act  2003</w:t>
      </w:r>
      <w:r w:rsidRPr="001A2487">
        <w:rPr>
          <w:rFonts w:ascii="Arial" w:hAnsi="Arial" w:cs="Arial"/>
          <w:b/>
          <w:vertAlign w:val="superscript"/>
        </w:rPr>
        <w:footnoteReference w:id="11"/>
      </w:r>
      <w:r w:rsidRPr="00773A2A">
        <w:rPr>
          <w:rFonts w:ascii="Arial" w:hAnsi="Arial" w:cs="Arial"/>
        </w:rPr>
        <w:t xml:space="preserve"> respectively, can be granted in three circumstances; in the Crown Court on conviction; in the Magistrates’ Court by complaint; and in the Magistrates’ Court on conviction.  Secondary legislation has recently been commenced to introduce a fee for the VOPO granted in the first two circumstances, but not the last one, and this mirrors the existing fee structure in place for the SOPO.</w:t>
      </w:r>
    </w:p>
    <w:p w:rsidR="007B2607" w:rsidRPr="00773A2A" w:rsidRDefault="007B2607" w:rsidP="00F67B38">
      <w:pPr>
        <w:numPr>
          <w:ilvl w:val="1"/>
          <w:numId w:val="2"/>
        </w:numPr>
        <w:autoSpaceDE w:val="0"/>
        <w:autoSpaceDN w:val="0"/>
        <w:adjustRightInd w:val="0"/>
        <w:spacing w:after="240" w:line="360" w:lineRule="auto"/>
        <w:ind w:left="567" w:hanging="567"/>
        <w:jc w:val="both"/>
        <w:rPr>
          <w:rFonts w:ascii="Arial" w:hAnsi="Arial" w:cs="Arial"/>
        </w:rPr>
      </w:pPr>
      <w:r w:rsidRPr="00773A2A">
        <w:rPr>
          <w:rFonts w:ascii="Arial" w:hAnsi="Arial" w:cs="Arial"/>
        </w:rPr>
        <w:t>For the Crown Court on conviction, the Legal Aid for Crown Court Proceedings (Costs) (Amendment No. 3) Rules (Northern Ireland) 2016</w:t>
      </w:r>
      <w:r w:rsidRPr="001A2487">
        <w:rPr>
          <w:rFonts w:ascii="Arial" w:hAnsi="Arial" w:cs="Arial"/>
          <w:b/>
          <w:vertAlign w:val="superscript"/>
        </w:rPr>
        <w:footnoteReference w:id="12"/>
      </w:r>
      <w:r w:rsidRPr="00773A2A">
        <w:rPr>
          <w:rFonts w:ascii="Arial" w:hAnsi="Arial" w:cs="Arial"/>
        </w:rPr>
        <w:t xml:space="preserve"> introduced a  fee for hearings of an application for a VOPO on conviction under schedule 1, paragraph 15C of the Crown Court Rules.  These fees can range from £113 to £375 depending on the length of the hearing.  For the magistrates’ court on complaint, the Civil Legal Services (Remuneration) (Amendment) (No. 2) Order (Northern Ireland) 2016</w:t>
      </w:r>
      <w:r w:rsidRPr="001A2487">
        <w:rPr>
          <w:rFonts w:ascii="Arial" w:hAnsi="Arial" w:cs="Arial"/>
          <w:b/>
          <w:vertAlign w:val="superscript"/>
        </w:rPr>
        <w:footnoteReference w:id="13"/>
      </w:r>
      <w:r w:rsidRPr="00773A2A">
        <w:rPr>
          <w:rFonts w:ascii="Arial" w:hAnsi="Arial" w:cs="Arial"/>
        </w:rPr>
        <w:t xml:space="preserve"> brought </w:t>
      </w:r>
      <w:r w:rsidR="00C11D8F" w:rsidRPr="00773A2A">
        <w:rPr>
          <w:rFonts w:ascii="Arial" w:hAnsi="Arial" w:cs="Arial"/>
        </w:rPr>
        <w:t>VOPO</w:t>
      </w:r>
      <w:r w:rsidR="00C11D8F">
        <w:rPr>
          <w:rFonts w:ascii="Arial" w:hAnsi="Arial" w:cs="Arial"/>
        </w:rPr>
        <w:t>s</w:t>
      </w:r>
      <w:r w:rsidR="00C11D8F" w:rsidRPr="00773A2A">
        <w:rPr>
          <w:rFonts w:ascii="Arial" w:hAnsi="Arial" w:cs="Arial"/>
        </w:rPr>
        <w:t xml:space="preserve"> </w:t>
      </w:r>
      <w:r w:rsidRPr="00773A2A">
        <w:rPr>
          <w:rFonts w:ascii="Arial" w:hAnsi="Arial" w:cs="Arial"/>
        </w:rPr>
        <w:t>within the scope of schedule 3, table 10 of the 2015 Order</w:t>
      </w:r>
      <w:r w:rsidRPr="001A2487">
        <w:rPr>
          <w:rFonts w:ascii="Arial" w:hAnsi="Arial" w:cs="Arial"/>
          <w:b/>
          <w:vertAlign w:val="superscript"/>
        </w:rPr>
        <w:footnoteReference w:id="14"/>
      </w:r>
      <w:r w:rsidRPr="00773A2A">
        <w:rPr>
          <w:rFonts w:ascii="Arial" w:hAnsi="Arial" w:cs="Arial"/>
        </w:rPr>
        <w:t>.  The fee available for both solicitors and junior counsel for a VOPO hearing on complaint in the magistrates’ courts is £180.</w:t>
      </w:r>
    </w:p>
    <w:p w:rsidR="007B2607" w:rsidRPr="009A51E8" w:rsidRDefault="007B2607" w:rsidP="00F67B38">
      <w:pPr>
        <w:numPr>
          <w:ilvl w:val="1"/>
          <w:numId w:val="2"/>
        </w:numPr>
        <w:autoSpaceDE w:val="0"/>
        <w:autoSpaceDN w:val="0"/>
        <w:adjustRightInd w:val="0"/>
        <w:spacing w:after="240" w:line="360" w:lineRule="auto"/>
        <w:ind w:left="567" w:hanging="567"/>
        <w:jc w:val="both"/>
        <w:rPr>
          <w:rFonts w:ascii="Arial" w:hAnsi="Arial" w:cs="Arial"/>
        </w:rPr>
      </w:pPr>
      <w:r w:rsidRPr="008C571C">
        <w:rPr>
          <w:rFonts w:ascii="Arial" w:hAnsi="Arial" w:cs="Arial"/>
        </w:rPr>
        <w:t xml:space="preserve">SOPOs also attract a £180 fee on complaint in the magistrates’ court under schedule 3, table 10 of the 2015 Order, and fees ranging from £113 to £375 in the Crown Court on conviction under schedule 1, paragraph 15C of the Crown Court Rules.  Similar provision is also made at the Crown Court for the hearing of an application in relation to other public protection measures including, for example, </w:t>
      </w:r>
      <w:r w:rsidR="005814B0">
        <w:rPr>
          <w:rFonts w:ascii="Arial" w:hAnsi="Arial" w:cs="Arial"/>
        </w:rPr>
        <w:t xml:space="preserve">STPOs made under the </w:t>
      </w:r>
      <w:r w:rsidR="005814B0" w:rsidRPr="005814B0">
        <w:rPr>
          <w:rFonts w:ascii="Arial" w:hAnsi="Arial" w:cs="Arial"/>
          <w:bCs/>
          <w:lang w:val="en"/>
        </w:rPr>
        <w:t>Human Trafficking and Exploitation (Criminal Justice and Support for Victims) Act (Northern Ireland) 2015.</w:t>
      </w:r>
    </w:p>
    <w:p w:rsidR="00C73DAC" w:rsidRDefault="00C73DAC" w:rsidP="00F67B38">
      <w:pPr>
        <w:numPr>
          <w:ilvl w:val="1"/>
          <w:numId w:val="2"/>
        </w:numPr>
        <w:autoSpaceDE w:val="0"/>
        <w:autoSpaceDN w:val="0"/>
        <w:adjustRightInd w:val="0"/>
        <w:spacing w:after="240" w:line="360" w:lineRule="auto"/>
        <w:ind w:left="567" w:hanging="567"/>
        <w:jc w:val="both"/>
        <w:rPr>
          <w:rFonts w:ascii="Arial" w:hAnsi="Arial" w:cs="Arial"/>
        </w:rPr>
      </w:pPr>
      <w:r w:rsidRPr="00C73DAC">
        <w:rPr>
          <w:rFonts w:ascii="Arial" w:hAnsi="Arial" w:cs="Arial"/>
          <w:bCs/>
        </w:rPr>
        <w:t>There are no existing remuneration arrangements for Restraining Orders, ASBOs, FBOs, or FGMPOs</w:t>
      </w:r>
      <w:r>
        <w:rPr>
          <w:rFonts w:ascii="Arial" w:hAnsi="Arial" w:cs="Arial"/>
          <w:bCs/>
        </w:rPr>
        <w:t xml:space="preserve"> </w:t>
      </w:r>
      <w:r w:rsidR="00AE557C">
        <w:rPr>
          <w:rFonts w:ascii="Arial" w:hAnsi="Arial" w:cs="Arial"/>
          <w:bCs/>
        </w:rPr>
        <w:t>applied for</w:t>
      </w:r>
      <w:r>
        <w:rPr>
          <w:rFonts w:ascii="Arial" w:hAnsi="Arial" w:cs="Arial"/>
          <w:bCs/>
        </w:rPr>
        <w:t xml:space="preserve"> in relation to the disposal of a criminal charge by conviction or acquittal </w:t>
      </w:r>
      <w:r w:rsidR="00AE557C">
        <w:rPr>
          <w:rFonts w:ascii="Arial" w:hAnsi="Arial" w:cs="Arial"/>
          <w:bCs/>
        </w:rPr>
        <w:t>at</w:t>
      </w:r>
      <w:r>
        <w:rPr>
          <w:rFonts w:ascii="Arial" w:hAnsi="Arial" w:cs="Arial"/>
          <w:bCs/>
        </w:rPr>
        <w:t xml:space="preserve"> the magistrates’ court.</w:t>
      </w:r>
      <w:r w:rsidRPr="00C73DAC">
        <w:rPr>
          <w:rFonts w:ascii="Arial" w:hAnsi="Arial" w:cs="Arial"/>
          <w:bCs/>
        </w:rPr>
        <w:t xml:space="preserve">   </w:t>
      </w:r>
    </w:p>
    <w:p w:rsidR="009623E0" w:rsidRDefault="007B2607" w:rsidP="00F67B38">
      <w:pPr>
        <w:numPr>
          <w:ilvl w:val="1"/>
          <w:numId w:val="2"/>
        </w:numPr>
        <w:autoSpaceDE w:val="0"/>
        <w:autoSpaceDN w:val="0"/>
        <w:adjustRightInd w:val="0"/>
        <w:spacing w:after="240" w:line="360" w:lineRule="auto"/>
        <w:ind w:left="567" w:hanging="567"/>
        <w:jc w:val="both"/>
        <w:rPr>
          <w:rFonts w:ascii="Arial" w:hAnsi="Arial" w:cs="Arial"/>
        </w:rPr>
      </w:pPr>
      <w:r w:rsidRPr="007B2607">
        <w:rPr>
          <w:rFonts w:ascii="Arial" w:hAnsi="Arial" w:cs="Arial"/>
        </w:rPr>
        <w:t xml:space="preserve">The </w:t>
      </w:r>
      <w:r w:rsidR="00A37FC1">
        <w:rPr>
          <w:rFonts w:ascii="Arial" w:hAnsi="Arial" w:cs="Arial"/>
        </w:rPr>
        <w:t>DoJ</w:t>
      </w:r>
      <w:r w:rsidRPr="007B2607">
        <w:rPr>
          <w:rFonts w:ascii="Arial" w:hAnsi="Arial" w:cs="Arial"/>
        </w:rPr>
        <w:t xml:space="preserve"> </w:t>
      </w:r>
      <w:r w:rsidR="00BC716C">
        <w:rPr>
          <w:rFonts w:ascii="Arial" w:hAnsi="Arial" w:cs="Arial"/>
        </w:rPr>
        <w:t>intends</w:t>
      </w:r>
      <w:r w:rsidRPr="007B2607">
        <w:rPr>
          <w:rFonts w:ascii="Arial" w:hAnsi="Arial" w:cs="Arial"/>
        </w:rPr>
        <w:t xml:space="preserve"> to make provision for a standard fee for hearing</w:t>
      </w:r>
      <w:r w:rsidR="00F67B38">
        <w:rPr>
          <w:rFonts w:ascii="Arial" w:hAnsi="Arial" w:cs="Arial"/>
        </w:rPr>
        <w:t>s</w:t>
      </w:r>
      <w:r w:rsidRPr="007B2607">
        <w:rPr>
          <w:rFonts w:ascii="Arial" w:hAnsi="Arial" w:cs="Arial"/>
        </w:rPr>
        <w:t xml:space="preserve"> </w:t>
      </w:r>
      <w:r w:rsidR="00152C9F">
        <w:rPr>
          <w:rFonts w:ascii="Arial" w:hAnsi="Arial" w:cs="Arial"/>
        </w:rPr>
        <w:t>relat</w:t>
      </w:r>
      <w:r w:rsidR="00F67B38">
        <w:rPr>
          <w:rFonts w:ascii="Arial" w:hAnsi="Arial" w:cs="Arial"/>
        </w:rPr>
        <w:t>ed</w:t>
      </w:r>
      <w:r w:rsidR="00152C9F">
        <w:rPr>
          <w:rFonts w:ascii="Arial" w:hAnsi="Arial" w:cs="Arial"/>
        </w:rPr>
        <w:t xml:space="preserve"> to</w:t>
      </w:r>
      <w:r w:rsidRPr="007B2607">
        <w:rPr>
          <w:rFonts w:ascii="Arial" w:hAnsi="Arial" w:cs="Arial"/>
        </w:rPr>
        <w:t xml:space="preserve"> these </w:t>
      </w:r>
      <w:r w:rsidR="00152C9F">
        <w:rPr>
          <w:rFonts w:ascii="Arial" w:hAnsi="Arial" w:cs="Arial"/>
        </w:rPr>
        <w:t xml:space="preserve">ancillary </w:t>
      </w:r>
      <w:r w:rsidRPr="007B2607">
        <w:rPr>
          <w:rFonts w:ascii="Arial" w:hAnsi="Arial" w:cs="Arial"/>
        </w:rPr>
        <w:t xml:space="preserve">orders </w:t>
      </w:r>
      <w:r w:rsidR="00F67B38">
        <w:rPr>
          <w:rFonts w:ascii="Arial" w:hAnsi="Arial" w:cs="Arial"/>
        </w:rPr>
        <w:t>in criminal proceedings</w:t>
      </w:r>
      <w:r w:rsidR="00580936">
        <w:rPr>
          <w:rFonts w:ascii="Arial" w:hAnsi="Arial" w:cs="Arial"/>
        </w:rPr>
        <w:t xml:space="preserve"> </w:t>
      </w:r>
      <w:r w:rsidRPr="007B2607">
        <w:rPr>
          <w:rFonts w:ascii="Arial" w:hAnsi="Arial" w:cs="Arial"/>
        </w:rPr>
        <w:t xml:space="preserve">at the magistrates’ court, </w:t>
      </w:r>
      <w:r w:rsidR="00314286">
        <w:rPr>
          <w:rFonts w:ascii="Arial" w:hAnsi="Arial" w:cs="Arial"/>
        </w:rPr>
        <w:t xml:space="preserve">in particular for those orders for which remuneration arrangements have already been introduced at the Crown Court, such as SOPOs, VOPOs and STPOs.  </w:t>
      </w:r>
      <w:r w:rsidRPr="007B2607">
        <w:rPr>
          <w:rFonts w:ascii="Arial" w:hAnsi="Arial" w:cs="Arial"/>
        </w:rPr>
        <w:t xml:space="preserve"> </w:t>
      </w:r>
      <w:r w:rsidR="00152C9F">
        <w:rPr>
          <w:rFonts w:ascii="Arial" w:hAnsi="Arial" w:cs="Arial"/>
        </w:rPr>
        <w:t>This standard fee would be set at £75, akin to the set fee currently payable for the hearing of certain applications under paragraph 14 of schedule 1 to the 2009 Rules.</w:t>
      </w:r>
    </w:p>
    <w:p w:rsidR="007B2607" w:rsidRPr="003835EE" w:rsidRDefault="007B2607" w:rsidP="00F67B38">
      <w:pPr>
        <w:numPr>
          <w:ilvl w:val="1"/>
          <w:numId w:val="2"/>
        </w:numPr>
        <w:autoSpaceDE w:val="0"/>
        <w:autoSpaceDN w:val="0"/>
        <w:adjustRightInd w:val="0"/>
        <w:spacing w:after="240" w:line="360" w:lineRule="auto"/>
        <w:ind w:left="567" w:hanging="567"/>
        <w:jc w:val="both"/>
        <w:rPr>
          <w:rFonts w:ascii="Arial" w:hAnsi="Arial" w:cs="Arial"/>
        </w:rPr>
      </w:pPr>
      <w:r w:rsidRPr="007B2607">
        <w:rPr>
          <w:rFonts w:ascii="Arial" w:hAnsi="Arial" w:cs="Arial"/>
          <w:b/>
        </w:rPr>
        <w:t xml:space="preserve">The </w:t>
      </w:r>
      <w:r w:rsidR="00A37FC1">
        <w:rPr>
          <w:rFonts w:ascii="Arial" w:hAnsi="Arial" w:cs="Arial"/>
          <w:b/>
        </w:rPr>
        <w:t>DoJ</w:t>
      </w:r>
      <w:r w:rsidRPr="007B2607">
        <w:rPr>
          <w:rFonts w:ascii="Arial" w:hAnsi="Arial" w:cs="Arial"/>
          <w:b/>
        </w:rPr>
        <w:t xml:space="preserve"> would therefore welcome views from stakeholders regarding th</w:t>
      </w:r>
      <w:r w:rsidR="007C638E">
        <w:rPr>
          <w:rFonts w:ascii="Arial" w:hAnsi="Arial" w:cs="Arial"/>
          <w:b/>
        </w:rPr>
        <w:t xml:space="preserve">is proposal to </w:t>
      </w:r>
      <w:r w:rsidRPr="007B2607">
        <w:rPr>
          <w:rFonts w:ascii="Arial" w:hAnsi="Arial" w:cs="Arial"/>
          <w:b/>
        </w:rPr>
        <w:t>remunerat</w:t>
      </w:r>
      <w:r w:rsidR="007C638E">
        <w:rPr>
          <w:rFonts w:ascii="Arial" w:hAnsi="Arial" w:cs="Arial"/>
          <w:b/>
        </w:rPr>
        <w:t>e</w:t>
      </w:r>
      <w:r w:rsidRPr="007B2607">
        <w:rPr>
          <w:rFonts w:ascii="Arial" w:hAnsi="Arial" w:cs="Arial"/>
          <w:b/>
        </w:rPr>
        <w:t xml:space="preserve"> </w:t>
      </w:r>
      <w:r w:rsidR="00E93AD6">
        <w:rPr>
          <w:rFonts w:ascii="Arial" w:hAnsi="Arial" w:cs="Arial"/>
          <w:b/>
        </w:rPr>
        <w:t>hearing</w:t>
      </w:r>
      <w:r w:rsidR="00764DF0">
        <w:rPr>
          <w:rFonts w:ascii="Arial" w:hAnsi="Arial" w:cs="Arial"/>
          <w:b/>
        </w:rPr>
        <w:t>s</w:t>
      </w:r>
      <w:r w:rsidR="00E93AD6">
        <w:rPr>
          <w:rFonts w:ascii="Arial" w:hAnsi="Arial" w:cs="Arial"/>
          <w:b/>
        </w:rPr>
        <w:t xml:space="preserve"> </w:t>
      </w:r>
      <w:r w:rsidR="00764DF0">
        <w:rPr>
          <w:rFonts w:ascii="Arial" w:hAnsi="Arial" w:cs="Arial"/>
          <w:b/>
        </w:rPr>
        <w:t>related to</w:t>
      </w:r>
      <w:r w:rsidR="00E93AD6">
        <w:rPr>
          <w:rFonts w:ascii="Arial" w:hAnsi="Arial" w:cs="Arial"/>
          <w:b/>
        </w:rPr>
        <w:t xml:space="preserve"> the</w:t>
      </w:r>
      <w:r w:rsidRPr="007B2607">
        <w:rPr>
          <w:rFonts w:ascii="Arial" w:hAnsi="Arial" w:cs="Arial"/>
          <w:b/>
        </w:rPr>
        <w:t xml:space="preserve"> prohibited </w:t>
      </w:r>
      <w:r w:rsidRPr="003835EE">
        <w:rPr>
          <w:rFonts w:ascii="Arial" w:hAnsi="Arial" w:cs="Arial"/>
          <w:b/>
        </w:rPr>
        <w:t>behaviour orders</w:t>
      </w:r>
      <w:r w:rsidR="00E93AD6" w:rsidRPr="003835EE">
        <w:rPr>
          <w:rFonts w:ascii="Arial" w:hAnsi="Arial" w:cs="Arial"/>
          <w:b/>
        </w:rPr>
        <w:t xml:space="preserve"> listed at paragraph 4.</w:t>
      </w:r>
      <w:r w:rsidR="003258A9" w:rsidRPr="003835EE">
        <w:rPr>
          <w:rFonts w:ascii="Arial" w:hAnsi="Arial" w:cs="Arial"/>
          <w:b/>
        </w:rPr>
        <w:t>3</w:t>
      </w:r>
      <w:r w:rsidR="003258A9">
        <w:rPr>
          <w:rFonts w:ascii="Arial" w:hAnsi="Arial" w:cs="Arial"/>
          <w:b/>
        </w:rPr>
        <w:t>7</w:t>
      </w:r>
      <w:r w:rsidRPr="003835EE">
        <w:rPr>
          <w:rFonts w:ascii="Arial" w:hAnsi="Arial" w:cs="Arial"/>
          <w:b/>
        </w:rPr>
        <w:t>.</w:t>
      </w:r>
    </w:p>
    <w:p w:rsidR="00D61CF0" w:rsidRPr="00F67B38" w:rsidRDefault="00F67B38" w:rsidP="00F67B38">
      <w:pPr>
        <w:numPr>
          <w:ilvl w:val="1"/>
          <w:numId w:val="2"/>
        </w:numPr>
        <w:autoSpaceDE w:val="0"/>
        <w:autoSpaceDN w:val="0"/>
        <w:adjustRightInd w:val="0"/>
        <w:spacing w:after="240" w:line="360" w:lineRule="auto"/>
        <w:ind w:left="567" w:hanging="567"/>
        <w:jc w:val="both"/>
        <w:rPr>
          <w:rFonts w:ascii="Arial" w:hAnsi="Arial" w:cs="Arial"/>
          <w:b/>
        </w:rPr>
      </w:pPr>
      <w:r w:rsidRPr="00F67B38">
        <w:rPr>
          <w:rFonts w:ascii="Arial" w:hAnsi="Arial" w:cs="Arial"/>
        </w:rPr>
        <w:t>The DoJ has recently introduced arrangements by way of direction for</w:t>
      </w:r>
      <w:r w:rsidR="002947A0" w:rsidRPr="00F67B38">
        <w:rPr>
          <w:rFonts w:ascii="Arial" w:hAnsi="Arial" w:cs="Arial"/>
        </w:rPr>
        <w:t xml:space="preserve"> the </w:t>
      </w:r>
      <w:r w:rsidR="005919D5" w:rsidRPr="00F67B38">
        <w:rPr>
          <w:rFonts w:ascii="Arial" w:hAnsi="Arial" w:cs="Arial"/>
        </w:rPr>
        <w:t>LSA</w:t>
      </w:r>
      <w:r w:rsidR="002947A0" w:rsidRPr="00F67B38">
        <w:rPr>
          <w:rFonts w:ascii="Arial" w:hAnsi="Arial" w:cs="Arial"/>
        </w:rPr>
        <w:t xml:space="preserve"> to make </w:t>
      </w:r>
      <w:r w:rsidR="002947A0" w:rsidRPr="00946A3F">
        <w:rPr>
          <w:rFonts w:ascii="Arial" w:hAnsi="Arial" w:cs="Arial"/>
          <w:b/>
          <w:u w:val="single"/>
        </w:rPr>
        <w:t>interim payments for disbursements</w:t>
      </w:r>
      <w:r w:rsidR="002947A0" w:rsidRPr="00F67B38">
        <w:rPr>
          <w:rFonts w:ascii="Arial" w:hAnsi="Arial" w:cs="Arial"/>
        </w:rPr>
        <w:t xml:space="preserve"> in respect of experts</w:t>
      </w:r>
      <w:r w:rsidRPr="00F67B38">
        <w:rPr>
          <w:rFonts w:ascii="Arial" w:hAnsi="Arial" w:cs="Arial"/>
        </w:rPr>
        <w:t xml:space="preserve">.  </w:t>
      </w:r>
      <w:r w:rsidR="005919D5" w:rsidRPr="00F67B38">
        <w:rPr>
          <w:rFonts w:ascii="Arial" w:hAnsi="Arial" w:cs="Arial"/>
          <w:b/>
        </w:rPr>
        <w:t xml:space="preserve">In order to address this issue in the long-term, the </w:t>
      </w:r>
      <w:r w:rsidR="00A37FC1" w:rsidRPr="00F67B38">
        <w:rPr>
          <w:rFonts w:ascii="Arial" w:hAnsi="Arial" w:cs="Arial"/>
          <w:b/>
        </w:rPr>
        <w:t>DoJ</w:t>
      </w:r>
      <w:r w:rsidR="005919D5" w:rsidRPr="00F67B38">
        <w:rPr>
          <w:rFonts w:ascii="Arial" w:hAnsi="Arial" w:cs="Arial"/>
          <w:b/>
        </w:rPr>
        <w:t xml:space="preserve"> </w:t>
      </w:r>
      <w:r w:rsidR="00213D95" w:rsidRPr="00F67B38">
        <w:rPr>
          <w:rFonts w:ascii="Arial" w:hAnsi="Arial" w:cs="Arial"/>
          <w:b/>
        </w:rPr>
        <w:t xml:space="preserve">intends, </w:t>
      </w:r>
      <w:r w:rsidR="00870DC8" w:rsidRPr="00F67B38">
        <w:rPr>
          <w:rFonts w:ascii="Arial" w:hAnsi="Arial" w:cs="Arial"/>
          <w:b/>
        </w:rPr>
        <w:t>when appropriate,</w:t>
      </w:r>
      <w:r w:rsidR="007C638E" w:rsidRPr="00F67B38">
        <w:rPr>
          <w:rFonts w:ascii="Arial" w:hAnsi="Arial" w:cs="Arial"/>
          <w:b/>
        </w:rPr>
        <w:t xml:space="preserve"> </w:t>
      </w:r>
      <w:r w:rsidR="00213D95" w:rsidRPr="00F67B38">
        <w:rPr>
          <w:rFonts w:ascii="Arial" w:hAnsi="Arial" w:cs="Arial"/>
          <w:b/>
        </w:rPr>
        <w:t xml:space="preserve">to </w:t>
      </w:r>
      <w:r w:rsidR="007C638E" w:rsidRPr="00F67B38">
        <w:rPr>
          <w:rFonts w:ascii="Arial" w:hAnsi="Arial" w:cs="Arial"/>
          <w:b/>
        </w:rPr>
        <w:t>p</w:t>
      </w:r>
      <w:r w:rsidR="003835EE" w:rsidRPr="00F67B38">
        <w:rPr>
          <w:rFonts w:ascii="Arial" w:hAnsi="Arial" w:cs="Arial"/>
          <w:b/>
        </w:rPr>
        <w:t>ut</w:t>
      </w:r>
      <w:r w:rsidR="007C638E" w:rsidRPr="00F67B38">
        <w:rPr>
          <w:rFonts w:ascii="Arial" w:hAnsi="Arial" w:cs="Arial"/>
          <w:b/>
        </w:rPr>
        <w:t xml:space="preserve"> these arrangements on a statutory footing</w:t>
      </w:r>
      <w:r w:rsidR="005919D5" w:rsidRPr="00F67B38">
        <w:rPr>
          <w:rFonts w:ascii="Arial" w:hAnsi="Arial" w:cs="Arial"/>
          <w:b/>
        </w:rPr>
        <w:t xml:space="preserve"> through </w:t>
      </w:r>
      <w:r w:rsidR="007C638E" w:rsidRPr="00F67B38">
        <w:rPr>
          <w:rFonts w:ascii="Arial" w:hAnsi="Arial" w:cs="Arial"/>
          <w:b/>
        </w:rPr>
        <w:t>amendments to</w:t>
      </w:r>
      <w:r w:rsidR="005919D5" w:rsidRPr="00F67B38">
        <w:rPr>
          <w:rFonts w:ascii="Arial" w:hAnsi="Arial" w:cs="Arial"/>
          <w:b/>
        </w:rPr>
        <w:t xml:space="preserve"> the 2009 Rules.</w:t>
      </w:r>
    </w:p>
    <w:p w:rsidR="00D61CF0" w:rsidRDefault="00434DBE" w:rsidP="00F67B38">
      <w:pPr>
        <w:numPr>
          <w:ilvl w:val="1"/>
          <w:numId w:val="2"/>
        </w:numPr>
        <w:autoSpaceDE w:val="0"/>
        <w:autoSpaceDN w:val="0"/>
        <w:adjustRightInd w:val="0"/>
        <w:spacing w:after="240" w:line="360" w:lineRule="auto"/>
        <w:ind w:left="567" w:hanging="567"/>
        <w:jc w:val="both"/>
        <w:rPr>
          <w:rFonts w:ascii="Arial" w:hAnsi="Arial" w:cs="Arial"/>
        </w:rPr>
      </w:pPr>
      <w:r>
        <w:rPr>
          <w:rFonts w:ascii="Arial" w:hAnsi="Arial" w:cs="Arial"/>
        </w:rPr>
        <w:t xml:space="preserve">Feedback from stakeholders has also suggested that </w:t>
      </w:r>
      <w:r w:rsidRPr="00946A3F">
        <w:rPr>
          <w:rFonts w:ascii="Arial" w:hAnsi="Arial" w:cs="Arial"/>
          <w:b/>
          <w:u w:val="single"/>
        </w:rPr>
        <w:t>pre-hearing reviews</w:t>
      </w:r>
      <w:r>
        <w:rPr>
          <w:rFonts w:ascii="Arial" w:hAnsi="Arial" w:cs="Arial"/>
        </w:rPr>
        <w:t xml:space="preserve"> are becoming increasingly commonplace prior to the commencement of proceedings at the magistrates’ courts.  These hearings are an administrative step related to case management, which can be requested by t</w:t>
      </w:r>
      <w:r w:rsidR="003F17FD">
        <w:rPr>
          <w:rFonts w:ascii="Arial" w:hAnsi="Arial" w:cs="Arial"/>
        </w:rPr>
        <w:t>he</w:t>
      </w:r>
      <w:r>
        <w:rPr>
          <w:rFonts w:ascii="Arial" w:hAnsi="Arial" w:cs="Arial"/>
        </w:rPr>
        <w:t xml:space="preserve"> court or either party, in order to determine if preparatory work is in hand or discuss any issues which may have arisen.  Although the hearings do involve both parties appearing at </w:t>
      </w:r>
      <w:r w:rsidR="00BE234A">
        <w:rPr>
          <w:rFonts w:ascii="Arial" w:hAnsi="Arial" w:cs="Arial"/>
        </w:rPr>
        <w:t xml:space="preserve">the magistrates’ </w:t>
      </w:r>
      <w:r>
        <w:rPr>
          <w:rFonts w:ascii="Arial" w:hAnsi="Arial" w:cs="Arial"/>
        </w:rPr>
        <w:t>court</w:t>
      </w:r>
      <w:r w:rsidR="00BE234A">
        <w:rPr>
          <w:rFonts w:ascii="Arial" w:hAnsi="Arial" w:cs="Arial"/>
        </w:rPr>
        <w:t>, they can be relatively short</w:t>
      </w:r>
      <w:r>
        <w:rPr>
          <w:rFonts w:ascii="Arial" w:hAnsi="Arial" w:cs="Arial"/>
        </w:rPr>
        <w:t>.</w:t>
      </w:r>
    </w:p>
    <w:p w:rsidR="00434DBE" w:rsidRDefault="00265654" w:rsidP="00F67B38">
      <w:pPr>
        <w:numPr>
          <w:ilvl w:val="1"/>
          <w:numId w:val="2"/>
        </w:numPr>
        <w:autoSpaceDE w:val="0"/>
        <w:autoSpaceDN w:val="0"/>
        <w:adjustRightInd w:val="0"/>
        <w:spacing w:after="240" w:line="360" w:lineRule="auto"/>
        <w:ind w:left="567" w:hanging="567"/>
        <w:jc w:val="both"/>
        <w:rPr>
          <w:rFonts w:ascii="Arial" w:hAnsi="Arial" w:cs="Arial"/>
          <w:b/>
        </w:rPr>
      </w:pPr>
      <w:r w:rsidRPr="00265654">
        <w:rPr>
          <w:rFonts w:ascii="Arial" w:hAnsi="Arial" w:cs="Arial"/>
          <w:b/>
        </w:rPr>
        <w:t xml:space="preserve">The </w:t>
      </w:r>
      <w:r w:rsidR="00A37FC1">
        <w:rPr>
          <w:rFonts w:ascii="Arial" w:hAnsi="Arial" w:cs="Arial"/>
          <w:b/>
        </w:rPr>
        <w:t>DoJ</w:t>
      </w:r>
      <w:r w:rsidRPr="00265654">
        <w:rPr>
          <w:rFonts w:ascii="Arial" w:hAnsi="Arial" w:cs="Arial"/>
          <w:b/>
        </w:rPr>
        <w:t xml:space="preserve"> would welcome feedback regarding the prevalence of, and </w:t>
      </w:r>
      <w:r w:rsidR="006E5167">
        <w:rPr>
          <w:rFonts w:ascii="Arial" w:hAnsi="Arial" w:cs="Arial"/>
          <w:b/>
        </w:rPr>
        <w:t xml:space="preserve">additional </w:t>
      </w:r>
      <w:r w:rsidRPr="00265654">
        <w:rPr>
          <w:rFonts w:ascii="Arial" w:hAnsi="Arial" w:cs="Arial"/>
          <w:b/>
        </w:rPr>
        <w:t xml:space="preserve">work required to prepare for, pre-hearing reviews at the magistrates’ court, in order to determine </w:t>
      </w:r>
      <w:r w:rsidR="001E3D42">
        <w:rPr>
          <w:rFonts w:ascii="Arial" w:hAnsi="Arial" w:cs="Arial"/>
          <w:b/>
        </w:rPr>
        <w:t xml:space="preserve">whether – and if so how – it may be appropriate </w:t>
      </w:r>
      <w:r>
        <w:rPr>
          <w:rFonts w:ascii="Arial" w:hAnsi="Arial" w:cs="Arial"/>
          <w:b/>
        </w:rPr>
        <w:t xml:space="preserve">to amend the 2009 Rules to take account of this practice. </w:t>
      </w:r>
    </w:p>
    <w:p w:rsidR="001D3073" w:rsidRPr="00E93AD6" w:rsidRDefault="001D3073" w:rsidP="00F67B38">
      <w:pPr>
        <w:autoSpaceDE w:val="0"/>
        <w:autoSpaceDN w:val="0"/>
        <w:adjustRightInd w:val="0"/>
        <w:spacing w:after="240" w:line="360" w:lineRule="auto"/>
        <w:ind w:left="567"/>
        <w:jc w:val="both"/>
        <w:rPr>
          <w:rFonts w:ascii="Arial" w:hAnsi="Arial" w:cs="Arial"/>
          <w:b/>
          <w:i/>
        </w:rPr>
      </w:pPr>
      <w:r w:rsidRPr="00E93AD6">
        <w:rPr>
          <w:rFonts w:ascii="Arial" w:hAnsi="Arial" w:cs="Arial"/>
          <w:b/>
          <w:i/>
        </w:rPr>
        <w:t xml:space="preserve">Control </w:t>
      </w:r>
      <w:r w:rsidR="00C828A1" w:rsidRPr="00E93AD6">
        <w:rPr>
          <w:rFonts w:ascii="Arial" w:hAnsi="Arial" w:cs="Arial"/>
          <w:b/>
          <w:i/>
        </w:rPr>
        <w:t>and</w:t>
      </w:r>
      <w:r w:rsidRPr="00E93AD6">
        <w:rPr>
          <w:rFonts w:ascii="Arial" w:hAnsi="Arial" w:cs="Arial"/>
          <w:b/>
          <w:i/>
        </w:rPr>
        <w:t xml:space="preserve"> forecasting of spending</w:t>
      </w:r>
    </w:p>
    <w:p w:rsidR="000F29B8" w:rsidRPr="000F29B8" w:rsidRDefault="000F29B8" w:rsidP="00F67B38">
      <w:pPr>
        <w:numPr>
          <w:ilvl w:val="1"/>
          <w:numId w:val="2"/>
        </w:numPr>
        <w:autoSpaceDE w:val="0"/>
        <w:autoSpaceDN w:val="0"/>
        <w:adjustRightInd w:val="0"/>
        <w:spacing w:after="240" w:line="360" w:lineRule="auto"/>
        <w:ind w:left="567" w:hanging="567"/>
        <w:jc w:val="both"/>
        <w:rPr>
          <w:rFonts w:ascii="Arial" w:hAnsi="Arial" w:cs="Arial"/>
        </w:rPr>
      </w:pPr>
      <w:r w:rsidRPr="000F29B8">
        <w:rPr>
          <w:rFonts w:ascii="Arial" w:hAnsi="Arial" w:cs="Arial"/>
        </w:rPr>
        <w:t>Access to Justice 2 suggested that “legal aid payments should continue to move towards standard fees per case, instead of hourly rates” because “[s]tandard fees give better control and reward supplier efficiency”</w:t>
      </w:r>
      <w:r w:rsidR="00824969" w:rsidRPr="009A51E8">
        <w:rPr>
          <w:rStyle w:val="FootnoteReference"/>
          <w:rFonts w:ascii="Arial" w:hAnsi="Arial" w:cs="Arial"/>
          <w:b/>
        </w:rPr>
        <w:footnoteReference w:id="15"/>
      </w:r>
      <w:r w:rsidRPr="000F29B8">
        <w:rPr>
          <w:rFonts w:ascii="Arial" w:hAnsi="Arial" w:cs="Arial"/>
        </w:rPr>
        <w:t xml:space="preserve">.  For these reasons, as well as a desire to improve spending forecasts, the introduction of standard fees where appropriate has played a major role in the </w:t>
      </w:r>
      <w:r w:rsidR="00A37FC1">
        <w:rPr>
          <w:rFonts w:ascii="Arial" w:hAnsi="Arial" w:cs="Arial"/>
        </w:rPr>
        <w:t>DoJ</w:t>
      </w:r>
      <w:r w:rsidRPr="000F29B8">
        <w:rPr>
          <w:rFonts w:ascii="Arial" w:hAnsi="Arial" w:cs="Arial"/>
        </w:rPr>
        <w:t xml:space="preserve">’s recent </w:t>
      </w:r>
      <w:r w:rsidR="00E0636F" w:rsidRPr="000F29B8">
        <w:rPr>
          <w:rFonts w:ascii="Arial" w:hAnsi="Arial" w:cs="Arial"/>
        </w:rPr>
        <w:t xml:space="preserve">legal aid </w:t>
      </w:r>
      <w:r w:rsidRPr="000F29B8">
        <w:rPr>
          <w:rFonts w:ascii="Arial" w:hAnsi="Arial" w:cs="Arial"/>
        </w:rPr>
        <w:t xml:space="preserve">reforms.  </w:t>
      </w:r>
    </w:p>
    <w:p w:rsidR="00FD2E87" w:rsidRDefault="006660EA" w:rsidP="00F67B38">
      <w:pPr>
        <w:numPr>
          <w:ilvl w:val="1"/>
          <w:numId w:val="2"/>
        </w:numPr>
        <w:autoSpaceDE w:val="0"/>
        <w:autoSpaceDN w:val="0"/>
        <w:adjustRightInd w:val="0"/>
        <w:spacing w:after="240" w:line="360" w:lineRule="auto"/>
        <w:ind w:left="567" w:hanging="567"/>
        <w:jc w:val="both"/>
        <w:rPr>
          <w:rFonts w:ascii="Arial" w:hAnsi="Arial" w:cs="Arial"/>
        </w:rPr>
      </w:pPr>
      <w:r w:rsidRPr="00FD2E87">
        <w:rPr>
          <w:rFonts w:ascii="Arial" w:hAnsi="Arial" w:cs="Arial"/>
        </w:rPr>
        <w:t xml:space="preserve">In this regard, the </w:t>
      </w:r>
      <w:r w:rsidR="008D0671">
        <w:rPr>
          <w:rFonts w:ascii="Arial" w:hAnsi="Arial" w:cs="Arial"/>
        </w:rPr>
        <w:t>review</w:t>
      </w:r>
      <w:r w:rsidRPr="00FD2E87">
        <w:rPr>
          <w:rFonts w:ascii="Arial" w:hAnsi="Arial" w:cs="Arial"/>
        </w:rPr>
        <w:t xml:space="preserve"> has identified payments for </w:t>
      </w:r>
      <w:r w:rsidR="00FD2E87" w:rsidRPr="00946A3F">
        <w:rPr>
          <w:rFonts w:ascii="Arial" w:hAnsi="Arial" w:cs="Arial"/>
          <w:b/>
          <w:u w:val="single"/>
        </w:rPr>
        <w:t>extradition cases</w:t>
      </w:r>
      <w:r w:rsidR="00FD2E87" w:rsidRPr="00FD2E87">
        <w:rPr>
          <w:rFonts w:ascii="Arial" w:hAnsi="Arial" w:cs="Arial"/>
        </w:rPr>
        <w:t xml:space="preserve"> as an area in which greater control and forecasting of spending could be achieved</w:t>
      </w:r>
      <w:r w:rsidR="00FF4E5A">
        <w:rPr>
          <w:rFonts w:ascii="Arial" w:hAnsi="Arial" w:cs="Arial"/>
        </w:rPr>
        <w:t xml:space="preserve"> within criminal legal aid</w:t>
      </w:r>
      <w:r w:rsidR="00FD2E87" w:rsidRPr="00FD2E87">
        <w:rPr>
          <w:rFonts w:ascii="Arial" w:hAnsi="Arial" w:cs="Arial"/>
        </w:rPr>
        <w:t>.  Extradition cases – including those relating to a European Arrest Warrants – are predominately remunerated based on hourly rates as a consequence of a direction issued by the Lord Chancellor under rule 4(1) of the 1992 Rules</w:t>
      </w:r>
      <w:r w:rsidR="00FD2E87">
        <w:rPr>
          <w:rFonts w:ascii="Arial" w:hAnsi="Arial" w:cs="Arial"/>
        </w:rPr>
        <w:t xml:space="preserve"> (a</w:t>
      </w:r>
      <w:r w:rsidR="00FD2E87" w:rsidRPr="00FD2E87">
        <w:rPr>
          <w:rFonts w:ascii="Arial" w:hAnsi="Arial" w:cs="Arial"/>
        </w:rPr>
        <w:t>lthough the direction does also allow representatives to opt for payment by way of standard fees</w:t>
      </w:r>
      <w:r w:rsidR="00FD2E87">
        <w:rPr>
          <w:rFonts w:ascii="Arial" w:hAnsi="Arial" w:cs="Arial"/>
        </w:rPr>
        <w:t>)</w:t>
      </w:r>
      <w:r w:rsidR="00FD2E87" w:rsidRPr="00FD2E87">
        <w:rPr>
          <w:rFonts w:ascii="Arial" w:hAnsi="Arial" w:cs="Arial"/>
        </w:rPr>
        <w:t xml:space="preserve">.  </w:t>
      </w:r>
      <w:r w:rsidR="00FD2E87">
        <w:rPr>
          <w:rFonts w:ascii="Arial" w:hAnsi="Arial" w:cs="Arial"/>
        </w:rPr>
        <w:t xml:space="preserve">This </w:t>
      </w:r>
      <w:r w:rsidR="008D0671">
        <w:rPr>
          <w:rFonts w:ascii="Arial" w:hAnsi="Arial" w:cs="Arial"/>
        </w:rPr>
        <w:t>remuneration scheme is administratively burdensome for the LSA when it comes to the payment of bills, and also makes it difficult to forecast expenditure in this area.</w:t>
      </w:r>
    </w:p>
    <w:p w:rsidR="003C3154" w:rsidRPr="00FF4E5A" w:rsidRDefault="001E3D42" w:rsidP="00F67B38">
      <w:pPr>
        <w:numPr>
          <w:ilvl w:val="1"/>
          <w:numId w:val="2"/>
        </w:numPr>
        <w:autoSpaceDE w:val="0"/>
        <w:autoSpaceDN w:val="0"/>
        <w:adjustRightInd w:val="0"/>
        <w:spacing w:after="240" w:line="360" w:lineRule="auto"/>
        <w:ind w:left="567" w:hanging="567"/>
        <w:jc w:val="both"/>
        <w:rPr>
          <w:rFonts w:ascii="Arial" w:hAnsi="Arial" w:cs="Arial"/>
          <w:b/>
        </w:rPr>
      </w:pPr>
      <w:r>
        <w:rPr>
          <w:rFonts w:ascii="Arial" w:hAnsi="Arial" w:cs="Arial"/>
          <w:b/>
        </w:rPr>
        <w:t>R</w:t>
      </w:r>
      <w:r w:rsidR="00FF4E5A" w:rsidRPr="00FF4E5A">
        <w:rPr>
          <w:rFonts w:ascii="Arial" w:hAnsi="Arial" w:cs="Arial"/>
          <w:b/>
        </w:rPr>
        <w:t xml:space="preserve">ather than introduce new remuneration amendments for extradition cases through amendments to the 2009 Rules, the </w:t>
      </w:r>
      <w:r w:rsidR="00A37FC1">
        <w:rPr>
          <w:rFonts w:ascii="Arial" w:hAnsi="Arial" w:cs="Arial"/>
          <w:b/>
        </w:rPr>
        <w:t>DoJ</w:t>
      </w:r>
      <w:r w:rsidR="00FF4E5A" w:rsidRPr="00FF4E5A">
        <w:rPr>
          <w:rFonts w:ascii="Arial" w:hAnsi="Arial" w:cs="Arial"/>
          <w:b/>
        </w:rPr>
        <w:t xml:space="preserve"> </w:t>
      </w:r>
      <w:r w:rsidR="00E93AD6">
        <w:rPr>
          <w:rFonts w:ascii="Arial" w:hAnsi="Arial" w:cs="Arial"/>
          <w:b/>
        </w:rPr>
        <w:t>is proposing</w:t>
      </w:r>
      <w:r w:rsidR="00FD2E87" w:rsidRPr="00FF4E5A">
        <w:rPr>
          <w:rFonts w:ascii="Arial" w:hAnsi="Arial" w:cs="Arial"/>
          <w:b/>
        </w:rPr>
        <w:t xml:space="preserve"> to review the remuneration arrangements for</w:t>
      </w:r>
      <w:r w:rsidR="00E530B1">
        <w:rPr>
          <w:rFonts w:ascii="Arial" w:hAnsi="Arial" w:cs="Arial"/>
          <w:b/>
        </w:rPr>
        <w:t xml:space="preserve"> all </w:t>
      </w:r>
      <w:r w:rsidR="00FD2E87" w:rsidRPr="00FF4E5A">
        <w:rPr>
          <w:rFonts w:ascii="Arial" w:hAnsi="Arial" w:cs="Arial"/>
          <w:b/>
        </w:rPr>
        <w:t>extradition cases</w:t>
      </w:r>
      <w:r w:rsidR="008D0671" w:rsidRPr="00FF4E5A">
        <w:rPr>
          <w:rFonts w:ascii="Arial" w:hAnsi="Arial" w:cs="Arial"/>
          <w:b/>
        </w:rPr>
        <w:t xml:space="preserve">, with a view to introducing standard fees.  This work will be taken forward </w:t>
      </w:r>
      <w:r w:rsidR="006C2E1B">
        <w:rPr>
          <w:rFonts w:ascii="Arial" w:hAnsi="Arial" w:cs="Arial"/>
          <w:b/>
        </w:rPr>
        <w:t>separately</w:t>
      </w:r>
      <w:r w:rsidR="008D0671" w:rsidRPr="00FF4E5A">
        <w:rPr>
          <w:rFonts w:ascii="Arial" w:hAnsi="Arial" w:cs="Arial"/>
          <w:b/>
        </w:rPr>
        <w:t>.</w:t>
      </w:r>
    </w:p>
    <w:p w:rsidR="001D3073" w:rsidRPr="001D3073" w:rsidRDefault="001D3073" w:rsidP="00F67B38">
      <w:pPr>
        <w:autoSpaceDE w:val="0"/>
        <w:autoSpaceDN w:val="0"/>
        <w:adjustRightInd w:val="0"/>
        <w:spacing w:after="240" w:line="360" w:lineRule="auto"/>
        <w:ind w:left="567"/>
        <w:jc w:val="both"/>
        <w:rPr>
          <w:rFonts w:ascii="Arial" w:hAnsi="Arial" w:cs="Arial"/>
          <w:i/>
        </w:rPr>
      </w:pPr>
      <w:r w:rsidRPr="001D3073">
        <w:rPr>
          <w:rFonts w:ascii="Arial" w:hAnsi="Arial" w:cs="Arial"/>
          <w:i/>
        </w:rPr>
        <w:t>Miscellaneous</w:t>
      </w:r>
    </w:p>
    <w:p w:rsidR="00FD2E87" w:rsidRPr="009A51E8" w:rsidRDefault="00FD2E87" w:rsidP="00F67B38">
      <w:pPr>
        <w:numPr>
          <w:ilvl w:val="1"/>
          <w:numId w:val="2"/>
        </w:numPr>
        <w:autoSpaceDE w:val="0"/>
        <w:autoSpaceDN w:val="0"/>
        <w:adjustRightInd w:val="0"/>
        <w:spacing w:after="240" w:line="360" w:lineRule="auto"/>
        <w:ind w:left="567" w:hanging="567"/>
        <w:jc w:val="both"/>
        <w:rPr>
          <w:rFonts w:ascii="Arial" w:hAnsi="Arial" w:cs="Arial"/>
        </w:rPr>
      </w:pPr>
      <w:r w:rsidRPr="00FD2E87">
        <w:rPr>
          <w:rFonts w:ascii="Arial" w:hAnsi="Arial" w:cs="Arial"/>
        </w:rPr>
        <w:t xml:space="preserve">An amendment within the 2014 Rules extended </w:t>
      </w:r>
      <w:r w:rsidRPr="00946A3F">
        <w:rPr>
          <w:rFonts w:ascii="Arial" w:hAnsi="Arial" w:cs="Arial"/>
          <w:b/>
          <w:u w:val="single"/>
        </w:rPr>
        <w:t>the review period</w:t>
      </w:r>
      <w:r w:rsidRPr="00FD2E87">
        <w:rPr>
          <w:rFonts w:ascii="Arial" w:hAnsi="Arial" w:cs="Arial"/>
        </w:rPr>
        <w:t xml:space="preserve"> for the 2009 Rules from two to three years, in order to allow more time for any amendments to be implemented, and for more data to be collected upon which the findings of any subsequent review would be based.  </w:t>
      </w:r>
      <w:r w:rsidRPr="00FD2E87">
        <w:rPr>
          <w:rFonts w:ascii="Arial" w:hAnsi="Arial" w:cs="Arial"/>
          <w:b/>
        </w:rPr>
        <w:t xml:space="preserve">The </w:t>
      </w:r>
      <w:r w:rsidR="00A37FC1">
        <w:rPr>
          <w:rFonts w:ascii="Arial" w:hAnsi="Arial" w:cs="Arial"/>
          <w:b/>
        </w:rPr>
        <w:t>DoJ</w:t>
      </w:r>
      <w:r w:rsidRPr="00FD2E87">
        <w:rPr>
          <w:rFonts w:ascii="Arial" w:hAnsi="Arial" w:cs="Arial"/>
          <w:b/>
        </w:rPr>
        <w:t xml:space="preserve"> would welcome views from stakeholders regarding the</w:t>
      </w:r>
      <w:r w:rsidR="00C95EB9">
        <w:rPr>
          <w:rFonts w:ascii="Arial" w:hAnsi="Arial" w:cs="Arial"/>
          <w:b/>
        </w:rPr>
        <w:t xml:space="preserve"> appropriateness of</w:t>
      </w:r>
      <w:r w:rsidRPr="00FD2E87">
        <w:rPr>
          <w:rFonts w:ascii="Arial" w:hAnsi="Arial" w:cs="Arial"/>
          <w:b/>
        </w:rPr>
        <w:t xml:space="preserve"> </w:t>
      </w:r>
      <w:r w:rsidR="005C7F9C">
        <w:rPr>
          <w:rFonts w:ascii="Arial" w:hAnsi="Arial" w:cs="Arial"/>
          <w:b/>
        </w:rPr>
        <w:t xml:space="preserve">the </w:t>
      </w:r>
      <w:r w:rsidRPr="00FD2E87">
        <w:rPr>
          <w:rFonts w:ascii="Arial" w:hAnsi="Arial" w:cs="Arial"/>
          <w:b/>
        </w:rPr>
        <w:t>review period for the 2009 Rules</w:t>
      </w:r>
      <w:r>
        <w:rPr>
          <w:rFonts w:ascii="Arial" w:hAnsi="Arial" w:cs="Arial"/>
          <w:b/>
        </w:rPr>
        <w:t>.</w:t>
      </w:r>
    </w:p>
    <w:p w:rsidR="00F67B38" w:rsidRDefault="00F67B38" w:rsidP="00F67B38">
      <w:pPr>
        <w:autoSpaceDE w:val="0"/>
        <w:autoSpaceDN w:val="0"/>
        <w:adjustRightInd w:val="0"/>
        <w:spacing w:after="240" w:line="360" w:lineRule="auto"/>
        <w:ind w:left="567"/>
        <w:jc w:val="both"/>
        <w:rPr>
          <w:rFonts w:ascii="Arial" w:hAnsi="Arial" w:cs="Arial"/>
          <w:b/>
        </w:rPr>
      </w:pPr>
    </w:p>
    <w:p w:rsidR="00F67B38" w:rsidRDefault="00F67B38" w:rsidP="00F67B38">
      <w:pPr>
        <w:autoSpaceDE w:val="0"/>
        <w:autoSpaceDN w:val="0"/>
        <w:adjustRightInd w:val="0"/>
        <w:spacing w:after="240" w:line="360" w:lineRule="auto"/>
        <w:ind w:left="567"/>
        <w:jc w:val="both"/>
        <w:rPr>
          <w:rFonts w:ascii="Arial" w:hAnsi="Arial" w:cs="Arial"/>
          <w:b/>
        </w:rPr>
      </w:pPr>
    </w:p>
    <w:p w:rsidR="00F67B38" w:rsidRDefault="00F67B38" w:rsidP="00F67B38">
      <w:pPr>
        <w:autoSpaceDE w:val="0"/>
        <w:autoSpaceDN w:val="0"/>
        <w:adjustRightInd w:val="0"/>
        <w:spacing w:after="240" w:line="360" w:lineRule="auto"/>
        <w:ind w:left="567"/>
        <w:jc w:val="both"/>
        <w:rPr>
          <w:rFonts w:ascii="Arial" w:hAnsi="Arial" w:cs="Arial"/>
          <w:b/>
        </w:rPr>
      </w:pPr>
    </w:p>
    <w:p w:rsidR="00BC6B13" w:rsidRPr="00BC6B13" w:rsidRDefault="00BC6B13" w:rsidP="00F67B38">
      <w:pPr>
        <w:autoSpaceDE w:val="0"/>
        <w:autoSpaceDN w:val="0"/>
        <w:adjustRightInd w:val="0"/>
        <w:spacing w:after="240" w:line="360" w:lineRule="auto"/>
        <w:ind w:left="567"/>
        <w:jc w:val="both"/>
        <w:rPr>
          <w:rFonts w:ascii="Arial" w:hAnsi="Arial" w:cs="Arial"/>
          <w:b/>
        </w:rPr>
      </w:pPr>
      <w:r w:rsidRPr="009A51E8">
        <w:rPr>
          <w:rFonts w:ascii="Arial" w:hAnsi="Arial" w:cs="Arial"/>
          <w:b/>
        </w:rPr>
        <w:t>Summary</w:t>
      </w:r>
    </w:p>
    <w:p w:rsidR="00BC6B13" w:rsidRDefault="00BC6B13" w:rsidP="00F67B38">
      <w:pPr>
        <w:numPr>
          <w:ilvl w:val="1"/>
          <w:numId w:val="2"/>
        </w:numPr>
        <w:autoSpaceDE w:val="0"/>
        <w:autoSpaceDN w:val="0"/>
        <w:adjustRightInd w:val="0"/>
        <w:spacing w:after="120" w:line="360" w:lineRule="auto"/>
        <w:ind w:left="567" w:hanging="567"/>
        <w:jc w:val="both"/>
        <w:rPr>
          <w:rFonts w:ascii="Arial" w:hAnsi="Arial" w:cs="Arial"/>
        </w:rPr>
      </w:pPr>
      <w:r>
        <w:rPr>
          <w:rFonts w:ascii="Arial" w:hAnsi="Arial" w:cs="Arial"/>
        </w:rPr>
        <w:t xml:space="preserve">In summary, the key issues identified for consultation by the </w:t>
      </w:r>
      <w:r w:rsidR="00A37FC1">
        <w:rPr>
          <w:rFonts w:ascii="Arial" w:hAnsi="Arial" w:cs="Arial"/>
        </w:rPr>
        <w:t>DoJ</w:t>
      </w:r>
      <w:r>
        <w:rPr>
          <w:rFonts w:ascii="Arial" w:hAnsi="Arial" w:cs="Arial"/>
        </w:rPr>
        <w:t xml:space="preserve"> during the statutory review of the 2009 Rules are as follows:</w:t>
      </w:r>
    </w:p>
    <w:p w:rsidR="00BB2430" w:rsidRPr="00BB2430" w:rsidRDefault="00BB2430" w:rsidP="00F67B38">
      <w:pPr>
        <w:numPr>
          <w:ilvl w:val="2"/>
          <w:numId w:val="2"/>
        </w:numPr>
        <w:autoSpaceDE w:val="0"/>
        <w:autoSpaceDN w:val="0"/>
        <w:adjustRightInd w:val="0"/>
        <w:spacing w:after="240" w:line="360" w:lineRule="auto"/>
        <w:jc w:val="both"/>
        <w:rPr>
          <w:rFonts w:ascii="Arial" w:hAnsi="Arial" w:cs="Arial"/>
        </w:rPr>
      </w:pPr>
      <w:r w:rsidRPr="00BB2430">
        <w:rPr>
          <w:rFonts w:ascii="Arial" w:hAnsi="Arial" w:cs="Arial"/>
        </w:rPr>
        <w:t>the fees payable to Counsel for appeals against sentence to the County Court;</w:t>
      </w:r>
    </w:p>
    <w:p w:rsidR="00BB2430" w:rsidRPr="00BB2430" w:rsidRDefault="00BB2430" w:rsidP="00F67B38">
      <w:pPr>
        <w:numPr>
          <w:ilvl w:val="2"/>
          <w:numId w:val="2"/>
        </w:numPr>
        <w:autoSpaceDE w:val="0"/>
        <w:autoSpaceDN w:val="0"/>
        <w:adjustRightInd w:val="0"/>
        <w:spacing w:after="240" w:line="360" w:lineRule="auto"/>
        <w:jc w:val="both"/>
        <w:rPr>
          <w:rFonts w:ascii="Arial" w:hAnsi="Arial" w:cs="Arial"/>
        </w:rPr>
      </w:pPr>
      <w:r w:rsidRPr="00BB2430">
        <w:rPr>
          <w:rFonts w:ascii="Arial" w:hAnsi="Arial" w:cs="Arial"/>
        </w:rPr>
        <w:t xml:space="preserve">the fees payable at the magistrates’ court for children charged with indictable only offences; </w:t>
      </w:r>
    </w:p>
    <w:p w:rsidR="00BB2430" w:rsidRDefault="00BB2430" w:rsidP="00F67B38">
      <w:pPr>
        <w:numPr>
          <w:ilvl w:val="2"/>
          <w:numId w:val="2"/>
        </w:numPr>
        <w:autoSpaceDE w:val="0"/>
        <w:autoSpaceDN w:val="0"/>
        <w:adjustRightInd w:val="0"/>
        <w:spacing w:after="240" w:line="360" w:lineRule="auto"/>
        <w:jc w:val="both"/>
        <w:rPr>
          <w:rFonts w:ascii="Arial" w:hAnsi="Arial" w:cs="Arial"/>
        </w:rPr>
      </w:pPr>
      <w:r w:rsidRPr="00BB2430">
        <w:rPr>
          <w:rFonts w:ascii="Arial" w:hAnsi="Arial" w:cs="Arial"/>
        </w:rPr>
        <w:t>the impact of the registered intermediaries scheme at the magistrates’ court, and the need for adequate remuneration arrangements to account for this impact;</w:t>
      </w:r>
    </w:p>
    <w:p w:rsidR="00BE234A" w:rsidRPr="00BB2430" w:rsidRDefault="00C1511C" w:rsidP="00F67B38">
      <w:pPr>
        <w:numPr>
          <w:ilvl w:val="2"/>
          <w:numId w:val="2"/>
        </w:numPr>
        <w:autoSpaceDE w:val="0"/>
        <w:autoSpaceDN w:val="0"/>
        <w:adjustRightInd w:val="0"/>
        <w:spacing w:after="240" w:line="360" w:lineRule="auto"/>
        <w:jc w:val="both"/>
        <w:rPr>
          <w:rFonts w:ascii="Arial" w:hAnsi="Arial" w:cs="Arial"/>
        </w:rPr>
      </w:pPr>
      <w:r>
        <w:rPr>
          <w:rFonts w:ascii="Arial" w:hAnsi="Arial" w:cs="Arial"/>
        </w:rPr>
        <w:t xml:space="preserve">the time and skill involved in providing representation for assisted persons at </w:t>
      </w:r>
      <w:r w:rsidR="00BE234A">
        <w:rPr>
          <w:rFonts w:ascii="Arial" w:hAnsi="Arial" w:cs="Arial"/>
        </w:rPr>
        <w:t>Newton Hearings</w:t>
      </w:r>
      <w:r>
        <w:rPr>
          <w:rFonts w:ascii="Arial" w:hAnsi="Arial" w:cs="Arial"/>
        </w:rPr>
        <w:t xml:space="preserve"> at the magistrates’ court;</w:t>
      </w:r>
    </w:p>
    <w:p w:rsidR="00BB2430" w:rsidRPr="00BB2430" w:rsidRDefault="00BB2430" w:rsidP="00F67B38">
      <w:pPr>
        <w:numPr>
          <w:ilvl w:val="2"/>
          <w:numId w:val="2"/>
        </w:numPr>
        <w:autoSpaceDE w:val="0"/>
        <w:autoSpaceDN w:val="0"/>
        <w:adjustRightInd w:val="0"/>
        <w:spacing w:after="240" w:line="360" w:lineRule="auto"/>
        <w:jc w:val="both"/>
        <w:rPr>
          <w:rFonts w:ascii="Arial" w:hAnsi="Arial" w:cs="Arial"/>
        </w:rPr>
      </w:pPr>
      <w:r w:rsidRPr="00BB2430">
        <w:rPr>
          <w:rFonts w:ascii="Arial" w:hAnsi="Arial" w:cs="Arial"/>
        </w:rPr>
        <w:t xml:space="preserve">the value for money of </w:t>
      </w:r>
      <w:r w:rsidR="00C1511C" w:rsidRPr="00BB2430">
        <w:rPr>
          <w:rFonts w:ascii="Arial" w:hAnsi="Arial" w:cs="Arial"/>
        </w:rPr>
        <w:t>remunerat</w:t>
      </w:r>
      <w:r w:rsidR="00C1511C">
        <w:rPr>
          <w:rFonts w:ascii="Arial" w:hAnsi="Arial" w:cs="Arial"/>
        </w:rPr>
        <w:t>ing</w:t>
      </w:r>
      <w:r w:rsidR="00C1511C" w:rsidRPr="00BB2430">
        <w:rPr>
          <w:rFonts w:ascii="Arial" w:hAnsi="Arial" w:cs="Arial"/>
        </w:rPr>
        <w:t xml:space="preserve"> </w:t>
      </w:r>
      <w:r w:rsidR="00130C3F">
        <w:rPr>
          <w:rFonts w:ascii="Arial" w:hAnsi="Arial" w:cs="Arial"/>
        </w:rPr>
        <w:t xml:space="preserve">work carried out by </w:t>
      </w:r>
      <w:r w:rsidRPr="00BB2430">
        <w:rPr>
          <w:rFonts w:ascii="Arial" w:hAnsi="Arial" w:cs="Arial"/>
        </w:rPr>
        <w:t>paralegals and “other fee earners” at the same rate as qualified solicitors</w:t>
      </w:r>
      <w:r w:rsidR="00F67B38">
        <w:rPr>
          <w:rFonts w:ascii="Arial" w:hAnsi="Arial" w:cs="Arial"/>
        </w:rPr>
        <w:t>;</w:t>
      </w:r>
    </w:p>
    <w:p w:rsidR="00BB2430" w:rsidRPr="00BB2430" w:rsidRDefault="00BB2430" w:rsidP="00F67B38">
      <w:pPr>
        <w:numPr>
          <w:ilvl w:val="2"/>
          <w:numId w:val="2"/>
        </w:numPr>
        <w:autoSpaceDE w:val="0"/>
        <w:autoSpaceDN w:val="0"/>
        <w:adjustRightInd w:val="0"/>
        <w:spacing w:after="240" w:line="360" w:lineRule="auto"/>
        <w:jc w:val="both"/>
        <w:rPr>
          <w:rFonts w:ascii="Arial" w:hAnsi="Arial" w:cs="Arial"/>
        </w:rPr>
      </w:pPr>
      <w:r w:rsidRPr="00BB2430">
        <w:rPr>
          <w:rFonts w:ascii="Arial" w:hAnsi="Arial" w:cs="Arial"/>
        </w:rPr>
        <w:t>the provision for any new application fees at the magistrates’ court or the County Court on appeal;</w:t>
      </w:r>
    </w:p>
    <w:p w:rsidR="00BB2430" w:rsidRPr="00BB2430" w:rsidRDefault="00BB2430" w:rsidP="00F67B38">
      <w:pPr>
        <w:numPr>
          <w:ilvl w:val="2"/>
          <w:numId w:val="2"/>
        </w:numPr>
        <w:autoSpaceDE w:val="0"/>
        <w:autoSpaceDN w:val="0"/>
        <w:adjustRightInd w:val="0"/>
        <w:spacing w:after="240" w:line="360" w:lineRule="auto"/>
        <w:jc w:val="both"/>
        <w:rPr>
          <w:rFonts w:ascii="Arial" w:hAnsi="Arial" w:cs="Arial"/>
        </w:rPr>
      </w:pPr>
      <w:r w:rsidRPr="00BB2430">
        <w:rPr>
          <w:rFonts w:ascii="Arial" w:hAnsi="Arial" w:cs="Arial"/>
        </w:rPr>
        <w:t>the remuneration arrangements</w:t>
      </w:r>
      <w:r w:rsidR="00526B9C">
        <w:rPr>
          <w:rFonts w:ascii="Arial" w:hAnsi="Arial" w:cs="Arial"/>
        </w:rPr>
        <w:t xml:space="preserve"> for</w:t>
      </w:r>
      <w:r w:rsidRPr="00BB2430">
        <w:rPr>
          <w:rFonts w:ascii="Arial" w:hAnsi="Arial" w:cs="Arial"/>
        </w:rPr>
        <w:t xml:space="preserve"> hearing</w:t>
      </w:r>
      <w:r w:rsidR="00F67B38">
        <w:rPr>
          <w:rFonts w:ascii="Arial" w:hAnsi="Arial" w:cs="Arial"/>
        </w:rPr>
        <w:t>s relating to</w:t>
      </w:r>
      <w:r w:rsidRPr="00BB2430">
        <w:rPr>
          <w:rFonts w:ascii="Arial" w:hAnsi="Arial" w:cs="Arial"/>
        </w:rPr>
        <w:t xml:space="preserve"> certain prohibited behaviour orders </w:t>
      </w:r>
      <w:r w:rsidR="00F67B38">
        <w:rPr>
          <w:rFonts w:ascii="Arial" w:hAnsi="Arial" w:cs="Arial"/>
        </w:rPr>
        <w:t xml:space="preserve">during criminal proceedings </w:t>
      </w:r>
      <w:r w:rsidRPr="00BB2430">
        <w:rPr>
          <w:rFonts w:ascii="Arial" w:hAnsi="Arial" w:cs="Arial"/>
        </w:rPr>
        <w:t>at the magistrates’ court;</w:t>
      </w:r>
    </w:p>
    <w:p w:rsidR="00BB2430" w:rsidRPr="00BB2430" w:rsidRDefault="00BB2430" w:rsidP="00F67B38">
      <w:pPr>
        <w:numPr>
          <w:ilvl w:val="2"/>
          <w:numId w:val="2"/>
        </w:numPr>
        <w:autoSpaceDE w:val="0"/>
        <w:autoSpaceDN w:val="0"/>
        <w:adjustRightInd w:val="0"/>
        <w:spacing w:after="240" w:line="360" w:lineRule="auto"/>
        <w:jc w:val="both"/>
        <w:rPr>
          <w:rFonts w:ascii="Arial" w:hAnsi="Arial" w:cs="Arial"/>
        </w:rPr>
      </w:pPr>
      <w:r w:rsidRPr="00BB2430">
        <w:rPr>
          <w:rFonts w:ascii="Arial" w:hAnsi="Arial" w:cs="Arial"/>
        </w:rPr>
        <w:t>provisions for interim payments within the Rules;</w:t>
      </w:r>
    </w:p>
    <w:p w:rsidR="00BB2430" w:rsidRPr="00BB2430" w:rsidRDefault="00BB2430" w:rsidP="00F67B38">
      <w:pPr>
        <w:numPr>
          <w:ilvl w:val="2"/>
          <w:numId w:val="2"/>
        </w:numPr>
        <w:autoSpaceDE w:val="0"/>
        <w:autoSpaceDN w:val="0"/>
        <w:adjustRightInd w:val="0"/>
        <w:spacing w:after="240" w:line="360" w:lineRule="auto"/>
        <w:jc w:val="both"/>
        <w:rPr>
          <w:rFonts w:ascii="Arial" w:hAnsi="Arial" w:cs="Arial"/>
        </w:rPr>
      </w:pPr>
      <w:r w:rsidRPr="00BB2430">
        <w:rPr>
          <w:rFonts w:ascii="Arial" w:hAnsi="Arial" w:cs="Arial"/>
        </w:rPr>
        <w:t>the provision for pre-hearing reviews; and</w:t>
      </w:r>
    </w:p>
    <w:p w:rsidR="008E3263" w:rsidRPr="00E0636F" w:rsidRDefault="00BB2430" w:rsidP="00F67B38">
      <w:pPr>
        <w:numPr>
          <w:ilvl w:val="2"/>
          <w:numId w:val="2"/>
        </w:numPr>
        <w:autoSpaceDE w:val="0"/>
        <w:autoSpaceDN w:val="0"/>
        <w:adjustRightInd w:val="0"/>
        <w:spacing w:after="240" w:line="360" w:lineRule="auto"/>
        <w:jc w:val="both"/>
        <w:rPr>
          <w:rFonts w:ascii="Arial" w:hAnsi="Arial" w:cs="Arial"/>
        </w:rPr>
      </w:pPr>
      <w:r w:rsidRPr="00E0636F">
        <w:rPr>
          <w:rFonts w:ascii="Arial" w:hAnsi="Arial" w:cs="Arial"/>
        </w:rPr>
        <w:t>the appropriateness of the “review period” for the 2009 Rules.</w:t>
      </w:r>
    </w:p>
    <w:p w:rsidR="00AE557C" w:rsidRDefault="00AE557C" w:rsidP="006F0A46">
      <w:pPr>
        <w:numPr>
          <w:ilvl w:val="0"/>
          <w:numId w:val="2"/>
        </w:numPr>
        <w:spacing w:after="240" w:line="360" w:lineRule="auto"/>
        <w:ind w:left="567" w:hanging="567"/>
        <w:jc w:val="both"/>
        <w:rPr>
          <w:rFonts w:ascii="Arial" w:hAnsi="Arial" w:cs="Arial"/>
          <w:b/>
        </w:rPr>
        <w:sectPr w:rsidR="00AE557C" w:rsidSect="00111C8F">
          <w:pgSz w:w="11906" w:h="16838"/>
          <w:pgMar w:top="1440" w:right="1800" w:bottom="1440" w:left="1800" w:header="708" w:footer="708" w:gutter="0"/>
          <w:cols w:space="708"/>
          <w:docGrid w:linePitch="360"/>
        </w:sectPr>
      </w:pPr>
    </w:p>
    <w:p w:rsidR="0089727A" w:rsidRDefault="00111C8F" w:rsidP="006F0A46">
      <w:pPr>
        <w:numPr>
          <w:ilvl w:val="0"/>
          <w:numId w:val="2"/>
        </w:numPr>
        <w:spacing w:after="240" w:line="360" w:lineRule="auto"/>
        <w:ind w:left="567" w:hanging="567"/>
        <w:jc w:val="both"/>
        <w:rPr>
          <w:rFonts w:ascii="Arial" w:hAnsi="Arial" w:cs="Arial"/>
          <w:b/>
        </w:rPr>
      </w:pPr>
      <w:r>
        <w:rPr>
          <w:rFonts w:ascii="Arial" w:hAnsi="Arial" w:cs="Arial"/>
          <w:b/>
        </w:rPr>
        <w:t>IMPACT ASSESSMENTS</w:t>
      </w:r>
    </w:p>
    <w:p w:rsidR="00111C8F" w:rsidRDefault="00B75602" w:rsidP="006F0A46">
      <w:pPr>
        <w:numPr>
          <w:ilvl w:val="1"/>
          <w:numId w:val="2"/>
        </w:numPr>
        <w:spacing w:after="240" w:line="360" w:lineRule="auto"/>
        <w:ind w:left="567" w:hanging="567"/>
        <w:jc w:val="both"/>
        <w:rPr>
          <w:rFonts w:ascii="Arial" w:hAnsi="Arial" w:cs="Arial"/>
        </w:rPr>
      </w:pPr>
      <w:r>
        <w:rPr>
          <w:rFonts w:ascii="Arial" w:hAnsi="Arial" w:cs="Arial"/>
        </w:rPr>
        <w:t xml:space="preserve">The </w:t>
      </w:r>
      <w:r w:rsidR="00A37FC1">
        <w:rPr>
          <w:rFonts w:ascii="Arial" w:hAnsi="Arial" w:cs="Arial"/>
        </w:rPr>
        <w:t>DoJ</w:t>
      </w:r>
      <w:r>
        <w:rPr>
          <w:rFonts w:ascii="Arial" w:hAnsi="Arial" w:cs="Arial"/>
        </w:rPr>
        <w:t xml:space="preserve"> has completed screening exercises for the equality, rural needs, </w:t>
      </w:r>
      <w:r w:rsidR="001B506B">
        <w:rPr>
          <w:rFonts w:ascii="Arial" w:hAnsi="Arial" w:cs="Arial"/>
        </w:rPr>
        <w:t>regulatory,</w:t>
      </w:r>
      <w:r w:rsidR="001C5F32">
        <w:rPr>
          <w:rFonts w:ascii="Arial" w:hAnsi="Arial" w:cs="Arial"/>
        </w:rPr>
        <w:t xml:space="preserve"> human rights,</w:t>
      </w:r>
      <w:r w:rsidR="001B506B">
        <w:rPr>
          <w:rFonts w:ascii="Arial" w:hAnsi="Arial" w:cs="Arial"/>
        </w:rPr>
        <w:t xml:space="preserve"> </w:t>
      </w:r>
      <w:r>
        <w:rPr>
          <w:rFonts w:ascii="Arial" w:hAnsi="Arial" w:cs="Arial"/>
        </w:rPr>
        <w:t xml:space="preserve">and </w:t>
      </w:r>
      <w:r w:rsidR="00E550AE">
        <w:rPr>
          <w:rFonts w:ascii="Arial" w:hAnsi="Arial" w:cs="Arial"/>
        </w:rPr>
        <w:t xml:space="preserve">data protection </w:t>
      </w:r>
      <w:r>
        <w:rPr>
          <w:rFonts w:ascii="Arial" w:hAnsi="Arial" w:cs="Arial"/>
        </w:rPr>
        <w:t>impact of the 2009 Rules policy</w:t>
      </w:r>
      <w:r w:rsidR="005C47CD">
        <w:rPr>
          <w:rFonts w:ascii="Arial" w:hAnsi="Arial" w:cs="Arial"/>
        </w:rPr>
        <w:t>, in accordance with departmental procedures</w:t>
      </w:r>
      <w:r>
        <w:rPr>
          <w:rFonts w:ascii="Arial" w:hAnsi="Arial" w:cs="Arial"/>
        </w:rPr>
        <w:t>.</w:t>
      </w:r>
      <w:r w:rsidR="005C47CD">
        <w:rPr>
          <w:rFonts w:ascii="Arial" w:hAnsi="Arial" w:cs="Arial"/>
        </w:rPr>
        <w:t xml:space="preserve">  In respect of each impact, the policy has been screened out at this stage of the development process.  </w:t>
      </w:r>
      <w:r w:rsidR="00E731EA">
        <w:rPr>
          <w:rFonts w:ascii="Arial" w:hAnsi="Arial" w:cs="Arial"/>
        </w:rPr>
        <w:t xml:space="preserve">These </w:t>
      </w:r>
      <w:r w:rsidR="005C47CD">
        <w:rPr>
          <w:rFonts w:ascii="Arial" w:hAnsi="Arial" w:cs="Arial"/>
        </w:rPr>
        <w:t>decision</w:t>
      </w:r>
      <w:r w:rsidR="00E731EA">
        <w:rPr>
          <w:rFonts w:ascii="Arial" w:hAnsi="Arial" w:cs="Arial"/>
        </w:rPr>
        <w:t>s</w:t>
      </w:r>
      <w:r w:rsidR="005C47CD">
        <w:rPr>
          <w:rFonts w:ascii="Arial" w:hAnsi="Arial" w:cs="Arial"/>
        </w:rPr>
        <w:t xml:space="preserve"> will be reviewed following the completion of the consultation exercise, taking account of any additional evidence received.</w:t>
      </w:r>
    </w:p>
    <w:p w:rsidR="00B75602" w:rsidRPr="00111C8F" w:rsidRDefault="00B75602" w:rsidP="005C47CD">
      <w:pPr>
        <w:spacing w:after="240" w:line="360" w:lineRule="auto"/>
        <w:ind w:left="567"/>
        <w:jc w:val="both"/>
        <w:rPr>
          <w:rFonts w:ascii="Arial" w:hAnsi="Arial" w:cs="Arial"/>
        </w:rPr>
      </w:pPr>
    </w:p>
    <w:p w:rsidR="00A35A13" w:rsidRPr="00FF545C" w:rsidRDefault="00A35A13" w:rsidP="006F0A46">
      <w:pPr>
        <w:autoSpaceDE w:val="0"/>
        <w:autoSpaceDN w:val="0"/>
        <w:adjustRightInd w:val="0"/>
        <w:spacing w:line="360" w:lineRule="auto"/>
        <w:ind w:left="720" w:hanging="720"/>
        <w:jc w:val="both"/>
        <w:rPr>
          <w:rFonts w:ascii="Arial" w:hAnsi="Arial" w:cs="Arial"/>
          <w:bCs/>
          <w:color w:val="000000"/>
        </w:rPr>
      </w:pPr>
    </w:p>
    <w:p w:rsidR="00111C8F" w:rsidRDefault="00111C8F" w:rsidP="006F0A46">
      <w:pPr>
        <w:numPr>
          <w:ilvl w:val="0"/>
          <w:numId w:val="2"/>
        </w:numPr>
        <w:autoSpaceDE w:val="0"/>
        <w:autoSpaceDN w:val="0"/>
        <w:adjustRightInd w:val="0"/>
        <w:spacing w:after="240" w:line="360" w:lineRule="auto"/>
        <w:ind w:left="567" w:hanging="567"/>
        <w:jc w:val="both"/>
        <w:rPr>
          <w:rFonts w:ascii="Arial" w:hAnsi="Arial" w:cs="Arial"/>
          <w:b/>
          <w:bCs/>
          <w:color w:val="000000"/>
        </w:rPr>
        <w:sectPr w:rsidR="00111C8F" w:rsidSect="00111C8F">
          <w:pgSz w:w="11906" w:h="16838"/>
          <w:pgMar w:top="1440" w:right="1800" w:bottom="1440" w:left="1800" w:header="708" w:footer="708" w:gutter="0"/>
          <w:cols w:space="708"/>
          <w:docGrid w:linePitch="360"/>
        </w:sectPr>
      </w:pPr>
    </w:p>
    <w:p w:rsidR="001C14C0" w:rsidRDefault="00111C8F" w:rsidP="006F0A46">
      <w:pPr>
        <w:numPr>
          <w:ilvl w:val="0"/>
          <w:numId w:val="2"/>
        </w:numPr>
        <w:autoSpaceDE w:val="0"/>
        <w:autoSpaceDN w:val="0"/>
        <w:adjustRightInd w:val="0"/>
        <w:spacing w:after="240" w:line="360" w:lineRule="auto"/>
        <w:ind w:left="567" w:hanging="567"/>
        <w:jc w:val="both"/>
        <w:rPr>
          <w:rFonts w:ascii="Arial" w:hAnsi="Arial" w:cs="Arial"/>
          <w:b/>
          <w:bCs/>
          <w:color w:val="000000"/>
        </w:rPr>
      </w:pPr>
      <w:r w:rsidRPr="00817D3D">
        <w:rPr>
          <w:rFonts w:ascii="Arial" w:hAnsi="Arial" w:cs="Arial"/>
          <w:b/>
          <w:bCs/>
          <w:color w:val="000000"/>
        </w:rPr>
        <w:t>NEXT STEPS</w:t>
      </w:r>
      <w:r>
        <w:rPr>
          <w:rFonts w:ascii="Arial" w:hAnsi="Arial" w:cs="Arial"/>
          <w:b/>
          <w:bCs/>
          <w:color w:val="000000"/>
        </w:rPr>
        <w:t xml:space="preserve"> </w:t>
      </w:r>
    </w:p>
    <w:p w:rsidR="00111C8F" w:rsidRPr="00111C8F" w:rsidRDefault="005915B1" w:rsidP="006F0A46">
      <w:pPr>
        <w:numPr>
          <w:ilvl w:val="1"/>
          <w:numId w:val="2"/>
        </w:numPr>
        <w:autoSpaceDE w:val="0"/>
        <w:autoSpaceDN w:val="0"/>
        <w:adjustRightInd w:val="0"/>
        <w:spacing w:after="240" w:line="360" w:lineRule="auto"/>
        <w:ind w:left="567" w:hanging="567"/>
        <w:jc w:val="both"/>
        <w:rPr>
          <w:rFonts w:ascii="Arial" w:hAnsi="Arial" w:cs="Arial"/>
          <w:bCs/>
          <w:color w:val="000000"/>
        </w:rPr>
      </w:pPr>
      <w:r>
        <w:rPr>
          <w:rFonts w:ascii="Arial" w:hAnsi="Arial" w:cs="Arial"/>
          <w:bCs/>
          <w:color w:val="000000"/>
        </w:rPr>
        <w:t xml:space="preserve">Following the consultation exercise, the </w:t>
      </w:r>
      <w:r w:rsidR="00A37FC1">
        <w:rPr>
          <w:rFonts w:ascii="Arial" w:hAnsi="Arial" w:cs="Arial"/>
          <w:bCs/>
          <w:color w:val="000000"/>
        </w:rPr>
        <w:t>DoJ</w:t>
      </w:r>
      <w:r>
        <w:rPr>
          <w:rFonts w:ascii="Arial" w:hAnsi="Arial" w:cs="Arial"/>
          <w:bCs/>
          <w:color w:val="000000"/>
        </w:rPr>
        <w:t xml:space="preserve"> will finalise its proposals and, if necessary, draft amending legislation in order to implement them.  This </w:t>
      </w:r>
      <w:r w:rsidR="00B831B0">
        <w:rPr>
          <w:rFonts w:ascii="Arial" w:hAnsi="Arial" w:cs="Arial"/>
          <w:bCs/>
          <w:color w:val="000000"/>
        </w:rPr>
        <w:t xml:space="preserve">amending </w:t>
      </w:r>
      <w:r>
        <w:rPr>
          <w:rFonts w:ascii="Arial" w:hAnsi="Arial" w:cs="Arial"/>
          <w:bCs/>
          <w:color w:val="000000"/>
        </w:rPr>
        <w:t xml:space="preserve">legislation will be subject to statutory consultation and </w:t>
      </w:r>
      <w:r w:rsidR="00D2588F">
        <w:rPr>
          <w:rFonts w:ascii="Arial" w:hAnsi="Arial" w:cs="Arial"/>
          <w:bCs/>
          <w:color w:val="000000"/>
        </w:rPr>
        <w:t xml:space="preserve">the relevant </w:t>
      </w:r>
      <w:r w:rsidR="00B831B0">
        <w:rPr>
          <w:rFonts w:ascii="Arial" w:hAnsi="Arial" w:cs="Arial"/>
          <w:bCs/>
          <w:color w:val="000000"/>
        </w:rPr>
        <w:t xml:space="preserve">legislative process </w:t>
      </w:r>
      <w:r>
        <w:rPr>
          <w:rFonts w:ascii="Arial" w:hAnsi="Arial" w:cs="Arial"/>
          <w:bCs/>
          <w:color w:val="000000"/>
        </w:rPr>
        <w:t>before it is commenced.</w:t>
      </w:r>
    </w:p>
    <w:p w:rsidR="00BA0DC2" w:rsidRPr="00D261E5" w:rsidRDefault="00BA0DC2" w:rsidP="007A07DB">
      <w:pPr>
        <w:autoSpaceDE w:val="0"/>
        <w:autoSpaceDN w:val="0"/>
        <w:adjustRightInd w:val="0"/>
        <w:spacing w:line="360" w:lineRule="auto"/>
        <w:ind w:left="720" w:hanging="720"/>
        <w:jc w:val="both"/>
        <w:rPr>
          <w:rFonts w:ascii="Arial" w:eastAsia="Calibri" w:hAnsi="Arial" w:cs="Arial"/>
          <w:lang w:eastAsia="en-US"/>
        </w:rPr>
      </w:pPr>
    </w:p>
    <w:sectPr w:rsidR="00BA0DC2" w:rsidRPr="00D261E5" w:rsidSect="00111C8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8A1" w:rsidRDefault="00C828A1">
      <w:r>
        <w:separator/>
      </w:r>
    </w:p>
  </w:endnote>
  <w:endnote w:type="continuationSeparator" w:id="0">
    <w:p w:rsidR="00C828A1" w:rsidRDefault="00C82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8A1" w:rsidRDefault="00C828A1" w:rsidP="003D71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828A1" w:rsidRDefault="00C828A1" w:rsidP="0044352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8A1" w:rsidRPr="000A20AD" w:rsidRDefault="00C828A1" w:rsidP="00443523">
    <w:pPr>
      <w:pStyle w:val="Footer"/>
      <w:ind w:right="360"/>
      <w:rPr>
        <w:color w:val="C0C0C0"/>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8A1" w:rsidRPr="00111C8F" w:rsidRDefault="00C828A1" w:rsidP="003D7116">
    <w:pPr>
      <w:pStyle w:val="Footer"/>
      <w:framePr w:wrap="around" w:vAnchor="text" w:hAnchor="margin" w:xAlign="right" w:y="1"/>
      <w:rPr>
        <w:rStyle w:val="PageNumber"/>
        <w:rFonts w:ascii="Arial" w:hAnsi="Arial" w:cs="Arial"/>
        <w:sz w:val="20"/>
        <w:szCs w:val="20"/>
      </w:rPr>
    </w:pPr>
    <w:r w:rsidRPr="00111C8F">
      <w:rPr>
        <w:rStyle w:val="PageNumber"/>
        <w:rFonts w:ascii="Arial" w:hAnsi="Arial" w:cs="Arial"/>
        <w:sz w:val="20"/>
        <w:szCs w:val="20"/>
      </w:rPr>
      <w:fldChar w:fldCharType="begin"/>
    </w:r>
    <w:r w:rsidRPr="00111C8F">
      <w:rPr>
        <w:rStyle w:val="PageNumber"/>
        <w:rFonts w:ascii="Arial" w:hAnsi="Arial" w:cs="Arial"/>
        <w:sz w:val="20"/>
        <w:szCs w:val="20"/>
      </w:rPr>
      <w:instrText xml:space="preserve">PAGE  </w:instrText>
    </w:r>
    <w:r w:rsidRPr="00111C8F">
      <w:rPr>
        <w:rStyle w:val="PageNumber"/>
        <w:rFonts w:ascii="Arial" w:hAnsi="Arial" w:cs="Arial"/>
        <w:sz w:val="20"/>
        <w:szCs w:val="20"/>
      </w:rPr>
      <w:fldChar w:fldCharType="separate"/>
    </w:r>
    <w:r w:rsidR="009715BA">
      <w:rPr>
        <w:rStyle w:val="PageNumber"/>
        <w:rFonts w:ascii="Arial" w:hAnsi="Arial" w:cs="Arial"/>
        <w:noProof/>
        <w:sz w:val="20"/>
        <w:szCs w:val="20"/>
      </w:rPr>
      <w:t>2</w:t>
    </w:r>
    <w:r w:rsidRPr="00111C8F">
      <w:rPr>
        <w:rStyle w:val="PageNumber"/>
        <w:rFonts w:ascii="Arial" w:hAnsi="Arial" w:cs="Arial"/>
        <w:sz w:val="20"/>
        <w:szCs w:val="20"/>
      </w:rPr>
      <w:fldChar w:fldCharType="end"/>
    </w:r>
  </w:p>
  <w:p w:rsidR="00C828A1" w:rsidRPr="00111C8F" w:rsidRDefault="00C828A1" w:rsidP="00946A3F">
    <w:pPr>
      <w:pStyle w:val="Footer"/>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8A1" w:rsidRDefault="00C828A1">
      <w:r>
        <w:separator/>
      </w:r>
    </w:p>
  </w:footnote>
  <w:footnote w:type="continuationSeparator" w:id="0">
    <w:p w:rsidR="00C828A1" w:rsidRDefault="00C828A1">
      <w:r>
        <w:continuationSeparator/>
      </w:r>
    </w:p>
  </w:footnote>
  <w:footnote w:id="1">
    <w:p w:rsidR="00C828A1" w:rsidRPr="00C75F66" w:rsidRDefault="00C828A1" w:rsidP="001E3D42">
      <w:pPr>
        <w:pStyle w:val="FootnoteText"/>
        <w:spacing w:after="60"/>
        <w:rPr>
          <w:rFonts w:ascii="Arial" w:hAnsi="Arial" w:cs="Arial"/>
        </w:rPr>
      </w:pPr>
      <w:r w:rsidRPr="00C75F66">
        <w:rPr>
          <w:rStyle w:val="FootnoteReference"/>
          <w:rFonts w:ascii="Arial" w:hAnsi="Arial" w:cs="Arial"/>
          <w:b/>
        </w:rPr>
        <w:footnoteRef/>
      </w:r>
      <w:r w:rsidRPr="00C75F66">
        <w:rPr>
          <w:rFonts w:ascii="Arial" w:hAnsi="Arial" w:cs="Arial"/>
        </w:rPr>
        <w:t xml:space="preserve"> </w:t>
      </w:r>
      <w:hyperlink r:id="rId1" w:history="1">
        <w:r w:rsidRPr="00C75F66">
          <w:rPr>
            <w:rStyle w:val="Hyperlink"/>
            <w:rFonts w:ascii="Arial" w:hAnsi="Arial" w:cs="Arial"/>
          </w:rPr>
          <w:t>http://www.legislation.gov.uk/nisr/2009/313/contents/made</w:t>
        </w:r>
      </w:hyperlink>
      <w:r w:rsidRPr="00C75F66">
        <w:rPr>
          <w:rFonts w:ascii="Arial" w:hAnsi="Arial" w:cs="Arial"/>
        </w:rPr>
        <w:t xml:space="preserve"> </w:t>
      </w:r>
    </w:p>
  </w:footnote>
  <w:footnote w:id="2">
    <w:p w:rsidR="00C828A1" w:rsidRDefault="00C828A1" w:rsidP="001E3D42">
      <w:pPr>
        <w:pStyle w:val="FootnoteText"/>
        <w:spacing w:after="60"/>
      </w:pPr>
      <w:r w:rsidRPr="00C75F66">
        <w:rPr>
          <w:rStyle w:val="FootnoteReference"/>
          <w:rFonts w:ascii="Arial" w:hAnsi="Arial" w:cs="Arial"/>
          <w:b/>
        </w:rPr>
        <w:footnoteRef/>
      </w:r>
      <w:r>
        <w:t xml:space="preserve"> </w:t>
      </w:r>
      <w:hyperlink r:id="rId2" w:history="1">
        <w:r w:rsidRPr="00C75F66">
          <w:rPr>
            <w:rStyle w:val="Hyperlink"/>
            <w:rFonts w:ascii="Arial" w:hAnsi="Arial" w:cs="Arial"/>
          </w:rPr>
          <w:t>http://www.legislation.gov.uk/nisr/2014/178/contents/made</w:t>
        </w:r>
      </w:hyperlink>
      <w:r>
        <w:t xml:space="preserve"> </w:t>
      </w:r>
    </w:p>
  </w:footnote>
  <w:footnote w:id="3">
    <w:p w:rsidR="00C828A1" w:rsidRPr="00C75F66" w:rsidRDefault="00C828A1" w:rsidP="001E3D42">
      <w:pPr>
        <w:pStyle w:val="FootnoteText"/>
        <w:spacing w:after="60"/>
        <w:rPr>
          <w:rFonts w:ascii="Arial" w:hAnsi="Arial" w:cs="Arial"/>
        </w:rPr>
      </w:pPr>
      <w:r w:rsidRPr="00C75F66">
        <w:rPr>
          <w:rStyle w:val="FootnoteReference"/>
          <w:rFonts w:ascii="Arial" w:hAnsi="Arial" w:cs="Arial"/>
          <w:b/>
        </w:rPr>
        <w:footnoteRef/>
      </w:r>
      <w:r w:rsidRPr="00C75F66">
        <w:rPr>
          <w:rFonts w:ascii="Arial" w:hAnsi="Arial" w:cs="Arial"/>
        </w:rPr>
        <w:t xml:space="preserve"> </w:t>
      </w:r>
      <w:hyperlink r:id="rId3" w:history="1">
        <w:r w:rsidRPr="00C75F66">
          <w:rPr>
            <w:rStyle w:val="Hyperlink"/>
            <w:rFonts w:ascii="Arial" w:hAnsi="Arial" w:cs="Arial"/>
          </w:rPr>
          <w:t>http://www.legislation.gov.uk/nisr/2016/398/contents/made</w:t>
        </w:r>
      </w:hyperlink>
    </w:p>
  </w:footnote>
  <w:footnote w:id="4">
    <w:p w:rsidR="00C828A1" w:rsidRPr="00E323C0" w:rsidRDefault="00C828A1" w:rsidP="001E3D42">
      <w:pPr>
        <w:pStyle w:val="FootnoteText"/>
        <w:spacing w:after="60"/>
        <w:rPr>
          <w:rFonts w:ascii="Arial" w:hAnsi="Arial" w:cs="Arial"/>
        </w:rPr>
      </w:pPr>
      <w:r w:rsidRPr="00E2648D">
        <w:rPr>
          <w:rStyle w:val="FootnoteReference"/>
          <w:rFonts w:ascii="Arial" w:hAnsi="Arial" w:cs="Arial"/>
          <w:b/>
        </w:rPr>
        <w:footnoteRef/>
      </w:r>
      <w:r w:rsidRPr="00E2648D">
        <w:rPr>
          <w:rFonts w:ascii="Arial" w:hAnsi="Arial" w:cs="Arial"/>
          <w:b/>
        </w:rPr>
        <w:t xml:space="preserve"> </w:t>
      </w:r>
      <w:r w:rsidRPr="001A2487">
        <w:rPr>
          <w:rFonts w:ascii="Arial" w:hAnsi="Arial" w:cs="Arial"/>
        </w:rPr>
        <w:t>In the context of the review, r</w:t>
      </w:r>
      <w:r w:rsidRPr="00D701C2">
        <w:rPr>
          <w:rFonts w:ascii="Arial" w:hAnsi="Arial" w:cs="Arial"/>
        </w:rPr>
        <w:t>egistered</w:t>
      </w:r>
      <w:r w:rsidRPr="00E323C0">
        <w:rPr>
          <w:rFonts w:ascii="Arial" w:hAnsi="Arial" w:cs="Arial"/>
        </w:rPr>
        <w:t xml:space="preserve"> intermediaries </w:t>
      </w:r>
      <w:r>
        <w:rPr>
          <w:rFonts w:ascii="Arial" w:hAnsi="Arial" w:cs="Arial"/>
        </w:rPr>
        <w:t>are specialists who facilitate communication with vulnerable victims, witnesses or defendants who have significant communication difficulties when they are giving evidence at trial.</w:t>
      </w:r>
    </w:p>
  </w:footnote>
  <w:footnote w:id="5">
    <w:p w:rsidR="00C828A1" w:rsidRPr="00312DF1" w:rsidRDefault="00C828A1" w:rsidP="001E3D42">
      <w:pPr>
        <w:pStyle w:val="FootnoteText"/>
        <w:spacing w:after="60"/>
        <w:rPr>
          <w:rFonts w:ascii="Arial" w:hAnsi="Arial" w:cs="Arial"/>
        </w:rPr>
      </w:pPr>
      <w:r w:rsidRPr="001A2487">
        <w:rPr>
          <w:rStyle w:val="FootnoteReference"/>
          <w:rFonts w:ascii="Arial" w:hAnsi="Arial" w:cs="Arial"/>
          <w:b/>
        </w:rPr>
        <w:footnoteRef/>
      </w:r>
      <w:r w:rsidRPr="00312DF1">
        <w:rPr>
          <w:rFonts w:ascii="Arial" w:hAnsi="Arial" w:cs="Arial"/>
        </w:rPr>
        <w:t xml:space="preserve"> </w:t>
      </w:r>
      <w:r w:rsidR="00456595">
        <w:rPr>
          <w:rFonts w:ascii="Arial" w:hAnsi="Arial" w:cs="Arial"/>
        </w:rPr>
        <w:t xml:space="preserve">Figure taken from the </w:t>
      </w:r>
      <w:r w:rsidRPr="00312DF1">
        <w:rPr>
          <w:rFonts w:ascii="Arial" w:hAnsi="Arial" w:cs="Arial"/>
        </w:rPr>
        <w:t>Law Society’s written response to PLSD consultation on the introduction of a Statutory Registration Scheme for all providers of publicly funded legal services In Northern Ireland</w:t>
      </w:r>
      <w:r>
        <w:rPr>
          <w:rFonts w:ascii="Arial" w:hAnsi="Arial" w:cs="Arial"/>
        </w:rPr>
        <w:t>.</w:t>
      </w:r>
    </w:p>
  </w:footnote>
  <w:footnote w:id="6">
    <w:p w:rsidR="00C828A1" w:rsidRDefault="00C828A1" w:rsidP="001E3D42">
      <w:pPr>
        <w:pStyle w:val="FootnoteText"/>
        <w:spacing w:after="60"/>
      </w:pPr>
      <w:r w:rsidRPr="001A2487">
        <w:rPr>
          <w:rStyle w:val="FootnoteReference"/>
          <w:rFonts w:ascii="Arial" w:hAnsi="Arial" w:cs="Arial"/>
          <w:b/>
        </w:rPr>
        <w:footnoteRef/>
      </w:r>
      <w:r w:rsidRPr="00312DF1">
        <w:rPr>
          <w:rFonts w:ascii="Arial" w:hAnsi="Arial" w:cs="Arial"/>
        </w:rPr>
        <w:t xml:space="preserve"> </w:t>
      </w:r>
      <w:r w:rsidR="00456595">
        <w:rPr>
          <w:rFonts w:ascii="Arial" w:hAnsi="Arial" w:cs="Arial"/>
        </w:rPr>
        <w:t xml:space="preserve">Figure taken from </w:t>
      </w:r>
      <w:hyperlink r:id="rId4" w:history="1">
        <w:r w:rsidRPr="00312DF1">
          <w:rPr>
            <w:rStyle w:val="Hyperlink"/>
            <w:rFonts w:ascii="Arial" w:hAnsi="Arial" w:cs="Arial"/>
          </w:rPr>
          <w:t>http://www.barofni.com/page/the-bar-of-northern-ireland</w:t>
        </w:r>
      </w:hyperlink>
      <w:r>
        <w:t xml:space="preserve"> </w:t>
      </w:r>
    </w:p>
  </w:footnote>
  <w:footnote w:id="7">
    <w:p w:rsidR="00C828A1" w:rsidRPr="005A5E39" w:rsidRDefault="00C828A1" w:rsidP="001E3D42">
      <w:pPr>
        <w:pStyle w:val="FootnoteText"/>
        <w:spacing w:after="60"/>
        <w:rPr>
          <w:rFonts w:ascii="Arial" w:hAnsi="Arial" w:cs="Arial"/>
        </w:rPr>
      </w:pPr>
      <w:r w:rsidRPr="001A2487">
        <w:rPr>
          <w:rStyle w:val="FootnoteReference"/>
          <w:rFonts w:ascii="Arial" w:hAnsi="Arial" w:cs="Arial"/>
          <w:b/>
        </w:rPr>
        <w:footnoteRef/>
      </w:r>
      <w:r w:rsidRPr="005A5E39">
        <w:rPr>
          <w:rFonts w:ascii="Arial" w:hAnsi="Arial" w:cs="Arial"/>
        </w:rPr>
        <w:t xml:space="preserve"> Based on payment data collected by the L</w:t>
      </w:r>
      <w:r w:rsidR="008824FD">
        <w:rPr>
          <w:rFonts w:ascii="Arial" w:hAnsi="Arial" w:cs="Arial"/>
        </w:rPr>
        <w:t xml:space="preserve">egal </w:t>
      </w:r>
      <w:r w:rsidRPr="005A5E39">
        <w:rPr>
          <w:rFonts w:ascii="Arial" w:hAnsi="Arial" w:cs="Arial"/>
        </w:rPr>
        <w:t>S</w:t>
      </w:r>
      <w:r w:rsidR="008824FD">
        <w:rPr>
          <w:rFonts w:ascii="Arial" w:hAnsi="Arial" w:cs="Arial"/>
        </w:rPr>
        <w:t>ervices Agency</w:t>
      </w:r>
    </w:p>
  </w:footnote>
  <w:footnote w:id="8">
    <w:p w:rsidR="00C828A1" w:rsidRDefault="00C828A1" w:rsidP="001E3D42">
      <w:pPr>
        <w:pStyle w:val="FootnoteText"/>
        <w:spacing w:after="60"/>
      </w:pPr>
      <w:r w:rsidRPr="001A2487">
        <w:rPr>
          <w:rStyle w:val="FootnoteReference"/>
          <w:rFonts w:ascii="Arial" w:hAnsi="Arial" w:cs="Arial"/>
          <w:b/>
        </w:rPr>
        <w:footnoteRef/>
      </w:r>
      <w:r w:rsidRPr="005A5E39">
        <w:rPr>
          <w:rFonts w:ascii="Arial" w:hAnsi="Arial" w:cs="Arial"/>
        </w:rPr>
        <w:t xml:space="preserve"> NICTS Judicial Statistics Annual Reports 2011-2015</w:t>
      </w:r>
    </w:p>
  </w:footnote>
  <w:footnote w:id="9">
    <w:p w:rsidR="00C828A1" w:rsidRPr="001A2487" w:rsidRDefault="00C828A1" w:rsidP="000F29B8">
      <w:pPr>
        <w:pStyle w:val="FootnoteText"/>
        <w:rPr>
          <w:rFonts w:ascii="Arial" w:hAnsi="Arial" w:cs="Arial"/>
        </w:rPr>
      </w:pPr>
      <w:r w:rsidRPr="001A2487">
        <w:rPr>
          <w:rStyle w:val="FootnoteReference"/>
          <w:rFonts w:ascii="Arial" w:hAnsi="Arial" w:cs="Arial"/>
          <w:b/>
        </w:rPr>
        <w:footnoteRef/>
      </w:r>
      <w:r w:rsidRPr="001A2487">
        <w:rPr>
          <w:rFonts w:ascii="Arial" w:hAnsi="Arial" w:cs="Arial"/>
        </w:rPr>
        <w:t xml:space="preserve"> </w:t>
      </w:r>
      <w:hyperlink r:id="rId5" w:history="1">
        <w:r w:rsidRPr="001A2487">
          <w:rPr>
            <w:rStyle w:val="Hyperlink"/>
            <w:rFonts w:ascii="Arial" w:hAnsi="Arial" w:cs="Arial"/>
          </w:rPr>
          <w:t>https://www.nao.org.uk/successful-commissioning/general-principles/value-for-money/assessing-value-for-money/</w:t>
        </w:r>
      </w:hyperlink>
      <w:r w:rsidRPr="001A2487">
        <w:rPr>
          <w:rFonts w:ascii="Arial" w:hAnsi="Arial" w:cs="Arial"/>
        </w:rPr>
        <w:t xml:space="preserve"> </w:t>
      </w:r>
    </w:p>
  </w:footnote>
  <w:footnote w:id="10">
    <w:p w:rsidR="00C828A1" w:rsidRPr="001A2487" w:rsidRDefault="00C828A1" w:rsidP="001A2487">
      <w:pPr>
        <w:pStyle w:val="FootnoteText"/>
        <w:spacing w:after="60"/>
        <w:rPr>
          <w:rFonts w:ascii="Arial" w:hAnsi="Arial" w:cs="Arial"/>
        </w:rPr>
      </w:pPr>
      <w:r w:rsidRPr="001A2487">
        <w:rPr>
          <w:rStyle w:val="FootnoteReference"/>
          <w:rFonts w:ascii="Arial" w:hAnsi="Arial" w:cs="Arial"/>
          <w:b/>
        </w:rPr>
        <w:footnoteRef/>
      </w:r>
      <w:r w:rsidRPr="001A2487">
        <w:rPr>
          <w:rFonts w:ascii="Arial" w:hAnsi="Arial" w:cs="Arial"/>
        </w:rPr>
        <w:t xml:space="preserve"> </w:t>
      </w:r>
      <w:hyperlink r:id="rId6" w:history="1">
        <w:r w:rsidRPr="001A2487">
          <w:rPr>
            <w:rStyle w:val="Hyperlink"/>
            <w:rFonts w:ascii="Arial" w:hAnsi="Arial" w:cs="Arial"/>
          </w:rPr>
          <w:t>http://www.legislation.gov.uk/nia/2015/9/contents</w:t>
        </w:r>
      </w:hyperlink>
      <w:r w:rsidRPr="001A2487">
        <w:rPr>
          <w:rFonts w:ascii="Arial" w:hAnsi="Arial" w:cs="Arial"/>
        </w:rPr>
        <w:t xml:space="preserve"> </w:t>
      </w:r>
    </w:p>
  </w:footnote>
  <w:footnote w:id="11">
    <w:p w:rsidR="00C828A1" w:rsidRPr="001A2487" w:rsidRDefault="00C828A1" w:rsidP="001A2487">
      <w:pPr>
        <w:pStyle w:val="FootnoteText"/>
        <w:spacing w:after="60"/>
        <w:rPr>
          <w:rFonts w:ascii="Arial" w:hAnsi="Arial" w:cs="Arial"/>
        </w:rPr>
      </w:pPr>
      <w:r w:rsidRPr="001A2487">
        <w:rPr>
          <w:rStyle w:val="FootnoteReference"/>
          <w:rFonts w:ascii="Arial" w:hAnsi="Arial" w:cs="Arial"/>
          <w:b/>
        </w:rPr>
        <w:footnoteRef/>
      </w:r>
      <w:r w:rsidRPr="001A2487">
        <w:rPr>
          <w:rFonts w:ascii="Arial" w:hAnsi="Arial" w:cs="Arial"/>
        </w:rPr>
        <w:t xml:space="preserve"> </w:t>
      </w:r>
      <w:hyperlink r:id="rId7" w:history="1">
        <w:r w:rsidRPr="001A2487">
          <w:rPr>
            <w:rStyle w:val="Hyperlink"/>
            <w:rFonts w:ascii="Arial" w:hAnsi="Arial" w:cs="Arial"/>
          </w:rPr>
          <w:t>http://www.legislation.gov.uk/ukpga/2003/42/contents</w:t>
        </w:r>
      </w:hyperlink>
    </w:p>
  </w:footnote>
  <w:footnote w:id="12">
    <w:p w:rsidR="00C828A1" w:rsidRPr="001A2487" w:rsidRDefault="00C828A1" w:rsidP="009A51E8">
      <w:pPr>
        <w:pStyle w:val="FootnoteText"/>
        <w:spacing w:after="60"/>
        <w:rPr>
          <w:rFonts w:ascii="Arial" w:hAnsi="Arial" w:cs="Arial"/>
        </w:rPr>
      </w:pPr>
      <w:r w:rsidRPr="001A2487">
        <w:rPr>
          <w:rStyle w:val="FootnoteReference"/>
          <w:rFonts w:ascii="Arial" w:hAnsi="Arial" w:cs="Arial"/>
          <w:b/>
        </w:rPr>
        <w:footnoteRef/>
      </w:r>
      <w:r w:rsidRPr="001A2487">
        <w:rPr>
          <w:rFonts w:ascii="Arial" w:hAnsi="Arial" w:cs="Arial"/>
        </w:rPr>
        <w:t xml:space="preserve"> </w:t>
      </w:r>
      <w:hyperlink r:id="rId8" w:history="1">
        <w:r w:rsidRPr="001A2487">
          <w:rPr>
            <w:rStyle w:val="Hyperlink"/>
            <w:rFonts w:ascii="Arial" w:hAnsi="Arial" w:cs="Arial"/>
          </w:rPr>
          <w:t>http://www.legislation.gov.uk/nisr/2016/397/pdfs/nisr_20160397_en.pdf</w:t>
        </w:r>
      </w:hyperlink>
      <w:r w:rsidRPr="001A2487">
        <w:rPr>
          <w:rFonts w:ascii="Arial" w:hAnsi="Arial" w:cs="Arial"/>
        </w:rPr>
        <w:t xml:space="preserve"> </w:t>
      </w:r>
    </w:p>
  </w:footnote>
  <w:footnote w:id="13">
    <w:p w:rsidR="00C828A1" w:rsidRPr="001A2487" w:rsidRDefault="00C828A1" w:rsidP="009A51E8">
      <w:pPr>
        <w:pStyle w:val="FootnoteText"/>
        <w:spacing w:after="60"/>
        <w:rPr>
          <w:rFonts w:ascii="Arial" w:hAnsi="Arial" w:cs="Arial"/>
        </w:rPr>
      </w:pPr>
      <w:r w:rsidRPr="001A2487">
        <w:rPr>
          <w:rStyle w:val="FootnoteReference"/>
          <w:rFonts w:ascii="Arial" w:hAnsi="Arial" w:cs="Arial"/>
          <w:b/>
        </w:rPr>
        <w:footnoteRef/>
      </w:r>
      <w:r w:rsidRPr="001A2487">
        <w:rPr>
          <w:rFonts w:ascii="Arial" w:hAnsi="Arial" w:cs="Arial"/>
        </w:rPr>
        <w:t xml:space="preserve"> </w:t>
      </w:r>
      <w:hyperlink r:id="rId9" w:history="1">
        <w:r w:rsidRPr="001A2487">
          <w:rPr>
            <w:rStyle w:val="Hyperlink"/>
            <w:rFonts w:ascii="Arial" w:hAnsi="Arial" w:cs="Arial"/>
          </w:rPr>
          <w:t>http://www.legislation.gov.uk/nisr/2016/396/pdfs/nisr_20160396_en.pdf</w:t>
        </w:r>
      </w:hyperlink>
      <w:r w:rsidRPr="001A2487">
        <w:rPr>
          <w:rFonts w:ascii="Arial" w:hAnsi="Arial" w:cs="Arial"/>
        </w:rPr>
        <w:t xml:space="preserve"> </w:t>
      </w:r>
    </w:p>
  </w:footnote>
  <w:footnote w:id="14">
    <w:p w:rsidR="00C828A1" w:rsidRDefault="00C828A1" w:rsidP="009A51E8">
      <w:pPr>
        <w:pStyle w:val="FootnoteText"/>
        <w:spacing w:after="60"/>
      </w:pPr>
      <w:r w:rsidRPr="001A2487">
        <w:rPr>
          <w:rStyle w:val="FootnoteReference"/>
          <w:rFonts w:ascii="Arial" w:hAnsi="Arial" w:cs="Arial"/>
          <w:b/>
        </w:rPr>
        <w:footnoteRef/>
      </w:r>
      <w:r w:rsidRPr="001A2487">
        <w:rPr>
          <w:rFonts w:ascii="Arial" w:hAnsi="Arial" w:cs="Arial"/>
        </w:rPr>
        <w:t xml:space="preserve"> </w:t>
      </w:r>
      <w:hyperlink r:id="rId10" w:history="1">
        <w:r w:rsidRPr="001A2487">
          <w:rPr>
            <w:rStyle w:val="Hyperlink"/>
            <w:rFonts w:ascii="Arial" w:hAnsi="Arial" w:cs="Arial"/>
          </w:rPr>
          <w:t>http://www.legislation.gov.uk/nisr/2015/201/contents/made</w:t>
        </w:r>
      </w:hyperlink>
      <w:r>
        <w:t xml:space="preserve"> </w:t>
      </w:r>
    </w:p>
  </w:footnote>
  <w:footnote w:id="15">
    <w:p w:rsidR="00C828A1" w:rsidRPr="00824969" w:rsidRDefault="00C828A1" w:rsidP="009A51E8">
      <w:pPr>
        <w:pStyle w:val="FootnoteText"/>
        <w:spacing w:after="60"/>
        <w:rPr>
          <w:rFonts w:ascii="Arial" w:hAnsi="Arial" w:cs="Arial"/>
        </w:rPr>
      </w:pPr>
      <w:r w:rsidRPr="009A51E8">
        <w:rPr>
          <w:rStyle w:val="FootnoteReference"/>
          <w:rFonts w:ascii="Arial" w:hAnsi="Arial" w:cs="Arial"/>
          <w:b/>
        </w:rPr>
        <w:footnoteRef/>
      </w:r>
      <w:r w:rsidRPr="00824969">
        <w:rPr>
          <w:rFonts w:ascii="Arial" w:hAnsi="Arial" w:cs="Arial"/>
        </w:rPr>
        <w:t xml:space="preserve"> Paragraph 11, page 11 of “A Strategy for Access to Jus</w:t>
      </w:r>
      <w:r>
        <w:rPr>
          <w:rFonts w:ascii="Arial" w:hAnsi="Arial" w:cs="Arial"/>
        </w:rPr>
        <w:t>t</w:t>
      </w:r>
      <w:r w:rsidRPr="00824969">
        <w:rPr>
          <w:rFonts w:ascii="Arial" w:hAnsi="Arial" w:cs="Arial"/>
        </w:rPr>
        <w:t>ice: The Report of Access to Justice 2”, published in September 2015.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8A1" w:rsidRDefault="00C828A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8A1" w:rsidRDefault="00C828A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8A1" w:rsidRDefault="00C828A1">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8A1" w:rsidRDefault="00C828A1">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8A1" w:rsidRDefault="00C828A1">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8A1" w:rsidRDefault="00C828A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43E5F"/>
    <w:multiLevelType w:val="multilevel"/>
    <w:tmpl w:val="98BA9478"/>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8B0F84"/>
    <w:multiLevelType w:val="hybridMultilevel"/>
    <w:tmpl w:val="D49CE3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BBF336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3C33B35"/>
    <w:multiLevelType w:val="multilevel"/>
    <w:tmpl w:val="382E938C"/>
    <w:lvl w:ilvl="0">
      <w:start w:val="1"/>
      <w:numFmt w:val="decimal"/>
      <w:lvlText w:val="%1."/>
      <w:lvlJc w:val="left"/>
      <w:pPr>
        <w:ind w:left="360" w:hanging="360"/>
      </w:pPr>
      <w:rPr>
        <w:b w:val="0"/>
        <w:color w:val="auto"/>
      </w:rPr>
    </w:lvl>
    <w:lvl w:ilvl="1">
      <w:start w:val="1"/>
      <w:numFmt w:val="bullet"/>
      <w:lvlText w:val=""/>
      <w:lvlJc w:val="left"/>
      <w:pPr>
        <w:ind w:left="792" w:hanging="432"/>
      </w:pPr>
      <w:rPr>
        <w:rFonts w:ascii="Wingdings" w:hAnsi="Wingding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D0C60C0"/>
    <w:multiLevelType w:val="multilevel"/>
    <w:tmpl w:val="DACC7444"/>
    <w:lvl w:ilvl="0">
      <w:start w:val="1"/>
      <w:numFmt w:val="decimal"/>
      <w:lvlText w:val="%1."/>
      <w:lvlJc w:val="left"/>
      <w:pPr>
        <w:ind w:left="360" w:hanging="360"/>
      </w:pPr>
      <w:rPr>
        <w:b w:val="0"/>
        <w:color w:val="auto"/>
      </w:rPr>
    </w:lvl>
    <w:lvl w:ilvl="1">
      <w:start w:val="1"/>
      <w:numFmt w:val="bullet"/>
      <w:lvlText w:val=""/>
      <w:lvlJc w:val="left"/>
      <w:pPr>
        <w:ind w:left="792" w:hanging="432"/>
      </w:pPr>
      <w:rPr>
        <w:rFonts w:ascii="Wingdings" w:hAnsi="Wingding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FBB2C60"/>
    <w:multiLevelType w:val="multilevel"/>
    <w:tmpl w:val="4A2CE9F4"/>
    <w:lvl w:ilvl="0">
      <w:start w:val="1"/>
      <w:numFmt w:val="decimal"/>
      <w:lvlText w:val="%1."/>
      <w:lvlJc w:val="left"/>
      <w:pPr>
        <w:ind w:left="360" w:hanging="360"/>
      </w:pPr>
      <w:rPr>
        <w:b/>
      </w:rPr>
    </w:lvl>
    <w:lvl w:ilvl="1">
      <w:start w:val="1"/>
      <w:numFmt w:val="bullet"/>
      <w:lvlText w:val=""/>
      <w:lvlJc w:val="left"/>
      <w:pPr>
        <w:ind w:left="792" w:hanging="432"/>
      </w:pPr>
      <w:rPr>
        <w:rFonts w:ascii="Wingdings" w:hAnsi="Wingding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9230A86"/>
    <w:multiLevelType w:val="multilevel"/>
    <w:tmpl w:val="C7CC8BB8"/>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7310C34"/>
    <w:multiLevelType w:val="singleLevel"/>
    <w:tmpl w:val="F6F485D2"/>
    <w:lvl w:ilvl="0">
      <w:start w:val="1"/>
      <w:numFmt w:val="bullet"/>
      <w:pStyle w:val="BulletPoints1"/>
      <w:lvlText w:val=""/>
      <w:lvlJc w:val="left"/>
      <w:pPr>
        <w:tabs>
          <w:tab w:val="num" w:pos="360"/>
        </w:tabs>
        <w:ind w:left="360" w:hanging="360"/>
      </w:pPr>
      <w:rPr>
        <w:rFonts w:ascii="Symbol" w:hAnsi="Symbol" w:hint="default"/>
      </w:rPr>
    </w:lvl>
  </w:abstractNum>
  <w:abstractNum w:abstractNumId="8" w15:restartNumberingAfterBreak="0">
    <w:nsid w:val="6B044816"/>
    <w:multiLevelType w:val="multilevel"/>
    <w:tmpl w:val="71F6884A"/>
    <w:lvl w:ilvl="0">
      <w:start w:val="1"/>
      <w:numFmt w:val="decimal"/>
      <w:lvlText w:val="%1."/>
      <w:lvlJc w:val="left"/>
      <w:pPr>
        <w:ind w:left="360" w:hanging="360"/>
      </w:pPr>
      <w:rPr>
        <w:b w:val="0"/>
        <w:color w:val="auto"/>
      </w:rPr>
    </w:lvl>
    <w:lvl w:ilvl="1">
      <w:start w:val="1"/>
      <w:numFmt w:val="bullet"/>
      <w:lvlText w:val=""/>
      <w:lvlJc w:val="left"/>
      <w:pPr>
        <w:ind w:left="792" w:hanging="432"/>
      </w:pPr>
      <w:rPr>
        <w:rFonts w:ascii="Wingdings" w:hAnsi="Wingding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D743F61"/>
    <w:multiLevelType w:val="hybridMultilevel"/>
    <w:tmpl w:val="15B2B574"/>
    <w:lvl w:ilvl="0" w:tplc="C318F334">
      <w:start w:val="1"/>
      <w:numFmt w:val="decimal"/>
      <w:lvlText w:val="%1."/>
      <w:lvlJc w:val="left"/>
      <w:pPr>
        <w:ind w:left="720" w:hanging="360"/>
      </w:pPr>
      <w:rPr>
        <w:b w:val="0"/>
        <w:color w:val="auto"/>
      </w:rPr>
    </w:lvl>
    <w:lvl w:ilvl="1" w:tplc="0809000B">
      <w:start w:val="1"/>
      <w:numFmt w:val="bullet"/>
      <w:lvlText w:val=""/>
      <w:lvlJc w:val="left"/>
      <w:pPr>
        <w:ind w:left="1440" w:hanging="360"/>
      </w:pPr>
      <w:rPr>
        <w:rFonts w:ascii="Wingdings" w:hAnsi="Wingdings" w:hint="default"/>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8"/>
  </w:num>
  <w:num w:numId="5">
    <w:abstractNumId w:val="3"/>
  </w:num>
  <w:num w:numId="6">
    <w:abstractNumId w:val="5"/>
  </w:num>
  <w:num w:numId="7">
    <w:abstractNumId w:val="9"/>
  </w:num>
  <w:num w:numId="8">
    <w:abstractNumId w:val="6"/>
  </w:num>
  <w:num w:numId="9">
    <w:abstractNumId w:val="1"/>
  </w:num>
  <w:num w:numId="1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39C"/>
    <w:rsid w:val="00001434"/>
    <w:rsid w:val="00001CBD"/>
    <w:rsid w:val="00002187"/>
    <w:rsid w:val="00002B81"/>
    <w:rsid w:val="0000345F"/>
    <w:rsid w:val="00003472"/>
    <w:rsid w:val="000038D2"/>
    <w:rsid w:val="00005914"/>
    <w:rsid w:val="000102DB"/>
    <w:rsid w:val="000133BD"/>
    <w:rsid w:val="000176B5"/>
    <w:rsid w:val="000224CD"/>
    <w:rsid w:val="00023318"/>
    <w:rsid w:val="000234E6"/>
    <w:rsid w:val="00027CF7"/>
    <w:rsid w:val="00030892"/>
    <w:rsid w:val="00032F60"/>
    <w:rsid w:val="00034D75"/>
    <w:rsid w:val="00035082"/>
    <w:rsid w:val="000374D6"/>
    <w:rsid w:val="00037E3D"/>
    <w:rsid w:val="00040998"/>
    <w:rsid w:val="00040D12"/>
    <w:rsid w:val="000421DF"/>
    <w:rsid w:val="000432B1"/>
    <w:rsid w:val="000472F9"/>
    <w:rsid w:val="000473EF"/>
    <w:rsid w:val="00051057"/>
    <w:rsid w:val="0005214C"/>
    <w:rsid w:val="00053C88"/>
    <w:rsid w:val="00054D79"/>
    <w:rsid w:val="00056B12"/>
    <w:rsid w:val="000605B9"/>
    <w:rsid w:val="00062A9C"/>
    <w:rsid w:val="00065790"/>
    <w:rsid w:val="00066630"/>
    <w:rsid w:val="0007245F"/>
    <w:rsid w:val="00077C3E"/>
    <w:rsid w:val="00080ED4"/>
    <w:rsid w:val="000810D2"/>
    <w:rsid w:val="0008158C"/>
    <w:rsid w:val="00086634"/>
    <w:rsid w:val="00091474"/>
    <w:rsid w:val="00091F1E"/>
    <w:rsid w:val="0009314C"/>
    <w:rsid w:val="000A02AA"/>
    <w:rsid w:val="000A1921"/>
    <w:rsid w:val="000A20AD"/>
    <w:rsid w:val="000A2329"/>
    <w:rsid w:val="000A2905"/>
    <w:rsid w:val="000A726F"/>
    <w:rsid w:val="000B0977"/>
    <w:rsid w:val="000B2623"/>
    <w:rsid w:val="000B7349"/>
    <w:rsid w:val="000B7E89"/>
    <w:rsid w:val="000C158F"/>
    <w:rsid w:val="000C1B7B"/>
    <w:rsid w:val="000C3832"/>
    <w:rsid w:val="000C5FC4"/>
    <w:rsid w:val="000C65D3"/>
    <w:rsid w:val="000D099E"/>
    <w:rsid w:val="000D49C6"/>
    <w:rsid w:val="000D4A59"/>
    <w:rsid w:val="000D7DCD"/>
    <w:rsid w:val="000E21FF"/>
    <w:rsid w:val="000E6AF4"/>
    <w:rsid w:val="000F0D49"/>
    <w:rsid w:val="000F2723"/>
    <w:rsid w:val="000F29B8"/>
    <w:rsid w:val="000F669C"/>
    <w:rsid w:val="000F7247"/>
    <w:rsid w:val="001007B2"/>
    <w:rsid w:val="00101212"/>
    <w:rsid w:val="0010423D"/>
    <w:rsid w:val="00105C1C"/>
    <w:rsid w:val="0011088B"/>
    <w:rsid w:val="00111C8F"/>
    <w:rsid w:val="0011313B"/>
    <w:rsid w:val="00117307"/>
    <w:rsid w:val="001204FD"/>
    <w:rsid w:val="00124474"/>
    <w:rsid w:val="0012623F"/>
    <w:rsid w:val="00130C3F"/>
    <w:rsid w:val="0013103D"/>
    <w:rsid w:val="001321DE"/>
    <w:rsid w:val="0013243D"/>
    <w:rsid w:val="0013481B"/>
    <w:rsid w:val="00134F1E"/>
    <w:rsid w:val="0014031E"/>
    <w:rsid w:val="00140FB4"/>
    <w:rsid w:val="001431CA"/>
    <w:rsid w:val="0014395F"/>
    <w:rsid w:val="001511E1"/>
    <w:rsid w:val="00152C9F"/>
    <w:rsid w:val="00155364"/>
    <w:rsid w:val="00163647"/>
    <w:rsid w:val="00164677"/>
    <w:rsid w:val="001648B0"/>
    <w:rsid w:val="00174D25"/>
    <w:rsid w:val="00177155"/>
    <w:rsid w:val="00181479"/>
    <w:rsid w:val="00181701"/>
    <w:rsid w:val="00181E63"/>
    <w:rsid w:val="00184F9F"/>
    <w:rsid w:val="001931F9"/>
    <w:rsid w:val="00194239"/>
    <w:rsid w:val="001946B1"/>
    <w:rsid w:val="001A2487"/>
    <w:rsid w:val="001A2DA4"/>
    <w:rsid w:val="001A3812"/>
    <w:rsid w:val="001A6661"/>
    <w:rsid w:val="001A7170"/>
    <w:rsid w:val="001A725F"/>
    <w:rsid w:val="001A7F20"/>
    <w:rsid w:val="001B022C"/>
    <w:rsid w:val="001B12D3"/>
    <w:rsid w:val="001B35EC"/>
    <w:rsid w:val="001B4C57"/>
    <w:rsid w:val="001B506B"/>
    <w:rsid w:val="001B53A5"/>
    <w:rsid w:val="001C14C0"/>
    <w:rsid w:val="001C2512"/>
    <w:rsid w:val="001C39DB"/>
    <w:rsid w:val="001C3F16"/>
    <w:rsid w:val="001C5F32"/>
    <w:rsid w:val="001C7AC9"/>
    <w:rsid w:val="001D1FA1"/>
    <w:rsid w:val="001D3073"/>
    <w:rsid w:val="001D50B2"/>
    <w:rsid w:val="001D5ADB"/>
    <w:rsid w:val="001E3306"/>
    <w:rsid w:val="001E3492"/>
    <w:rsid w:val="001E3D42"/>
    <w:rsid w:val="001E4FB8"/>
    <w:rsid w:val="001E6DA3"/>
    <w:rsid w:val="001E7A54"/>
    <w:rsid w:val="001E7AB3"/>
    <w:rsid w:val="001F2AB1"/>
    <w:rsid w:val="001F667A"/>
    <w:rsid w:val="001F7278"/>
    <w:rsid w:val="0020188E"/>
    <w:rsid w:val="002019D4"/>
    <w:rsid w:val="00202293"/>
    <w:rsid w:val="002046D9"/>
    <w:rsid w:val="00212E53"/>
    <w:rsid w:val="00213D95"/>
    <w:rsid w:val="00215699"/>
    <w:rsid w:val="002201A5"/>
    <w:rsid w:val="00223283"/>
    <w:rsid w:val="002236D6"/>
    <w:rsid w:val="00223F71"/>
    <w:rsid w:val="00224212"/>
    <w:rsid w:val="0022749D"/>
    <w:rsid w:val="00231F4A"/>
    <w:rsid w:val="002348AC"/>
    <w:rsid w:val="00234E1C"/>
    <w:rsid w:val="0023513E"/>
    <w:rsid w:val="002366BA"/>
    <w:rsid w:val="00242A57"/>
    <w:rsid w:val="00243442"/>
    <w:rsid w:val="0024413B"/>
    <w:rsid w:val="00250295"/>
    <w:rsid w:val="00254BCB"/>
    <w:rsid w:val="00256D04"/>
    <w:rsid w:val="00256E48"/>
    <w:rsid w:val="0025731B"/>
    <w:rsid w:val="00261300"/>
    <w:rsid w:val="00261DF8"/>
    <w:rsid w:val="00262E50"/>
    <w:rsid w:val="002638C2"/>
    <w:rsid w:val="00264894"/>
    <w:rsid w:val="00265654"/>
    <w:rsid w:val="0026590E"/>
    <w:rsid w:val="00267FA0"/>
    <w:rsid w:val="0027167B"/>
    <w:rsid w:val="00271EDE"/>
    <w:rsid w:val="00271F2E"/>
    <w:rsid w:val="002724F3"/>
    <w:rsid w:val="00280159"/>
    <w:rsid w:val="002813E6"/>
    <w:rsid w:val="00281F4F"/>
    <w:rsid w:val="0028723D"/>
    <w:rsid w:val="002878FB"/>
    <w:rsid w:val="002945F6"/>
    <w:rsid w:val="002947A0"/>
    <w:rsid w:val="002A1B6E"/>
    <w:rsid w:val="002A1C5E"/>
    <w:rsid w:val="002A5366"/>
    <w:rsid w:val="002A60EE"/>
    <w:rsid w:val="002A6207"/>
    <w:rsid w:val="002A78C6"/>
    <w:rsid w:val="002B04C1"/>
    <w:rsid w:val="002B174A"/>
    <w:rsid w:val="002B1C11"/>
    <w:rsid w:val="002B37D5"/>
    <w:rsid w:val="002B7A3A"/>
    <w:rsid w:val="002C14D3"/>
    <w:rsid w:val="002C3A91"/>
    <w:rsid w:val="002C4064"/>
    <w:rsid w:val="002D0677"/>
    <w:rsid w:val="002D1254"/>
    <w:rsid w:val="002D4D58"/>
    <w:rsid w:val="002D7F9D"/>
    <w:rsid w:val="002E1E04"/>
    <w:rsid w:val="002E2A86"/>
    <w:rsid w:val="002E3629"/>
    <w:rsid w:val="002F20E4"/>
    <w:rsid w:val="002F2636"/>
    <w:rsid w:val="002F6A1D"/>
    <w:rsid w:val="002F7FD7"/>
    <w:rsid w:val="003008B9"/>
    <w:rsid w:val="0030170A"/>
    <w:rsid w:val="003053A6"/>
    <w:rsid w:val="0030764D"/>
    <w:rsid w:val="00312C08"/>
    <w:rsid w:val="00312DF1"/>
    <w:rsid w:val="00314286"/>
    <w:rsid w:val="00314E26"/>
    <w:rsid w:val="00314F32"/>
    <w:rsid w:val="0031508F"/>
    <w:rsid w:val="00317AA6"/>
    <w:rsid w:val="00321898"/>
    <w:rsid w:val="003258A9"/>
    <w:rsid w:val="00326079"/>
    <w:rsid w:val="00327AA5"/>
    <w:rsid w:val="00330EC1"/>
    <w:rsid w:val="003322F9"/>
    <w:rsid w:val="003402AC"/>
    <w:rsid w:val="0034454A"/>
    <w:rsid w:val="00345B8A"/>
    <w:rsid w:val="00347B77"/>
    <w:rsid w:val="00350D7A"/>
    <w:rsid w:val="00351B4F"/>
    <w:rsid w:val="00351D0F"/>
    <w:rsid w:val="00353614"/>
    <w:rsid w:val="00353E92"/>
    <w:rsid w:val="0036262E"/>
    <w:rsid w:val="003639C9"/>
    <w:rsid w:val="0036559B"/>
    <w:rsid w:val="003669F7"/>
    <w:rsid w:val="00367B26"/>
    <w:rsid w:val="0037182C"/>
    <w:rsid w:val="00373947"/>
    <w:rsid w:val="0037603B"/>
    <w:rsid w:val="00377DC8"/>
    <w:rsid w:val="003816A4"/>
    <w:rsid w:val="003835EE"/>
    <w:rsid w:val="00386B58"/>
    <w:rsid w:val="0039042A"/>
    <w:rsid w:val="00392B09"/>
    <w:rsid w:val="00394E1F"/>
    <w:rsid w:val="0039630C"/>
    <w:rsid w:val="00396BC7"/>
    <w:rsid w:val="003A33AF"/>
    <w:rsid w:val="003A5218"/>
    <w:rsid w:val="003A561F"/>
    <w:rsid w:val="003A672D"/>
    <w:rsid w:val="003A68E1"/>
    <w:rsid w:val="003B090C"/>
    <w:rsid w:val="003B25AB"/>
    <w:rsid w:val="003B3B34"/>
    <w:rsid w:val="003B50BE"/>
    <w:rsid w:val="003C0652"/>
    <w:rsid w:val="003C20CD"/>
    <w:rsid w:val="003C2399"/>
    <w:rsid w:val="003C3154"/>
    <w:rsid w:val="003C34CE"/>
    <w:rsid w:val="003C38BA"/>
    <w:rsid w:val="003C6677"/>
    <w:rsid w:val="003D0CE1"/>
    <w:rsid w:val="003D7116"/>
    <w:rsid w:val="003D73B2"/>
    <w:rsid w:val="003E1681"/>
    <w:rsid w:val="003E1AEC"/>
    <w:rsid w:val="003E31F6"/>
    <w:rsid w:val="003E4A72"/>
    <w:rsid w:val="003E7E43"/>
    <w:rsid w:val="003F00E7"/>
    <w:rsid w:val="003F09B6"/>
    <w:rsid w:val="003F17FD"/>
    <w:rsid w:val="003F1AB8"/>
    <w:rsid w:val="003F3A41"/>
    <w:rsid w:val="003F4D1C"/>
    <w:rsid w:val="003F4E8C"/>
    <w:rsid w:val="003F5B72"/>
    <w:rsid w:val="00400410"/>
    <w:rsid w:val="00400CBE"/>
    <w:rsid w:val="00401A8A"/>
    <w:rsid w:val="004045A5"/>
    <w:rsid w:val="00405B88"/>
    <w:rsid w:val="00406F26"/>
    <w:rsid w:val="00407E73"/>
    <w:rsid w:val="004134ED"/>
    <w:rsid w:val="00416C9C"/>
    <w:rsid w:val="004177EF"/>
    <w:rsid w:val="004218AD"/>
    <w:rsid w:val="004241CC"/>
    <w:rsid w:val="004266B3"/>
    <w:rsid w:val="00426C11"/>
    <w:rsid w:val="004311CE"/>
    <w:rsid w:val="00434DBE"/>
    <w:rsid w:val="00436838"/>
    <w:rsid w:val="00437F7F"/>
    <w:rsid w:val="00443523"/>
    <w:rsid w:val="00443671"/>
    <w:rsid w:val="00443C24"/>
    <w:rsid w:val="004456D9"/>
    <w:rsid w:val="0044722E"/>
    <w:rsid w:val="00451BCC"/>
    <w:rsid w:val="00454F61"/>
    <w:rsid w:val="00456595"/>
    <w:rsid w:val="00461E3A"/>
    <w:rsid w:val="004625C9"/>
    <w:rsid w:val="004640D7"/>
    <w:rsid w:val="00465779"/>
    <w:rsid w:val="00465D4F"/>
    <w:rsid w:val="00467348"/>
    <w:rsid w:val="00467FCD"/>
    <w:rsid w:val="004715C3"/>
    <w:rsid w:val="00471E1D"/>
    <w:rsid w:val="0047604F"/>
    <w:rsid w:val="00476B7B"/>
    <w:rsid w:val="00476C2D"/>
    <w:rsid w:val="00481068"/>
    <w:rsid w:val="00481A71"/>
    <w:rsid w:val="00485A78"/>
    <w:rsid w:val="00486B16"/>
    <w:rsid w:val="00487CF1"/>
    <w:rsid w:val="004906E8"/>
    <w:rsid w:val="00491BE5"/>
    <w:rsid w:val="00492001"/>
    <w:rsid w:val="00494BFA"/>
    <w:rsid w:val="00494CB7"/>
    <w:rsid w:val="00495072"/>
    <w:rsid w:val="004A1DDA"/>
    <w:rsid w:val="004B0F5B"/>
    <w:rsid w:val="004C3D00"/>
    <w:rsid w:val="004C4494"/>
    <w:rsid w:val="004C48A5"/>
    <w:rsid w:val="004C5429"/>
    <w:rsid w:val="004C5ED4"/>
    <w:rsid w:val="004D1462"/>
    <w:rsid w:val="004D1DAA"/>
    <w:rsid w:val="004D22C0"/>
    <w:rsid w:val="004D2AC5"/>
    <w:rsid w:val="004D330D"/>
    <w:rsid w:val="004D573A"/>
    <w:rsid w:val="004D62F4"/>
    <w:rsid w:val="004D6F1A"/>
    <w:rsid w:val="004E1308"/>
    <w:rsid w:val="004E63BD"/>
    <w:rsid w:val="004F2766"/>
    <w:rsid w:val="004F2C72"/>
    <w:rsid w:val="004F33E9"/>
    <w:rsid w:val="004F7E81"/>
    <w:rsid w:val="005001ED"/>
    <w:rsid w:val="0050302A"/>
    <w:rsid w:val="00506D1C"/>
    <w:rsid w:val="00510316"/>
    <w:rsid w:val="00512273"/>
    <w:rsid w:val="00513143"/>
    <w:rsid w:val="005172A3"/>
    <w:rsid w:val="0052117E"/>
    <w:rsid w:val="0052129D"/>
    <w:rsid w:val="00526B9C"/>
    <w:rsid w:val="0053002D"/>
    <w:rsid w:val="005301A4"/>
    <w:rsid w:val="00530236"/>
    <w:rsid w:val="00534078"/>
    <w:rsid w:val="00540F2B"/>
    <w:rsid w:val="00547675"/>
    <w:rsid w:val="00550950"/>
    <w:rsid w:val="00550B5C"/>
    <w:rsid w:val="00554830"/>
    <w:rsid w:val="00557283"/>
    <w:rsid w:val="0056219E"/>
    <w:rsid w:val="005634AE"/>
    <w:rsid w:val="00564F8F"/>
    <w:rsid w:val="0056501A"/>
    <w:rsid w:val="00570C2F"/>
    <w:rsid w:val="00573051"/>
    <w:rsid w:val="0057434D"/>
    <w:rsid w:val="00576D92"/>
    <w:rsid w:val="005772C6"/>
    <w:rsid w:val="00580936"/>
    <w:rsid w:val="00580FFF"/>
    <w:rsid w:val="005814B0"/>
    <w:rsid w:val="005864E6"/>
    <w:rsid w:val="00591127"/>
    <w:rsid w:val="005915B1"/>
    <w:rsid w:val="00591886"/>
    <w:rsid w:val="005919D5"/>
    <w:rsid w:val="00591B5A"/>
    <w:rsid w:val="00592210"/>
    <w:rsid w:val="00594B8B"/>
    <w:rsid w:val="005952BA"/>
    <w:rsid w:val="005A5680"/>
    <w:rsid w:val="005A5E39"/>
    <w:rsid w:val="005B62BB"/>
    <w:rsid w:val="005C0499"/>
    <w:rsid w:val="005C06BD"/>
    <w:rsid w:val="005C2E03"/>
    <w:rsid w:val="005C2FD6"/>
    <w:rsid w:val="005C3297"/>
    <w:rsid w:val="005C40D9"/>
    <w:rsid w:val="005C47CD"/>
    <w:rsid w:val="005C512A"/>
    <w:rsid w:val="005C6054"/>
    <w:rsid w:val="005C7F9C"/>
    <w:rsid w:val="005D6BDE"/>
    <w:rsid w:val="005D752D"/>
    <w:rsid w:val="005E250A"/>
    <w:rsid w:val="005E48F5"/>
    <w:rsid w:val="005E6BE3"/>
    <w:rsid w:val="005F0E16"/>
    <w:rsid w:val="005F2F5B"/>
    <w:rsid w:val="005F4FC0"/>
    <w:rsid w:val="005F639C"/>
    <w:rsid w:val="005F6E18"/>
    <w:rsid w:val="00602034"/>
    <w:rsid w:val="006046FF"/>
    <w:rsid w:val="00604906"/>
    <w:rsid w:val="006050C5"/>
    <w:rsid w:val="00605BD1"/>
    <w:rsid w:val="0060670A"/>
    <w:rsid w:val="00607BDA"/>
    <w:rsid w:val="00610689"/>
    <w:rsid w:val="00613882"/>
    <w:rsid w:val="006226A4"/>
    <w:rsid w:val="006248A0"/>
    <w:rsid w:val="00636B32"/>
    <w:rsid w:val="00641E77"/>
    <w:rsid w:val="00642DE1"/>
    <w:rsid w:val="00645977"/>
    <w:rsid w:val="006469CB"/>
    <w:rsid w:val="00646D16"/>
    <w:rsid w:val="006500A9"/>
    <w:rsid w:val="00650B25"/>
    <w:rsid w:val="00652666"/>
    <w:rsid w:val="006532F9"/>
    <w:rsid w:val="006541FE"/>
    <w:rsid w:val="00655A24"/>
    <w:rsid w:val="0066099B"/>
    <w:rsid w:val="006615AD"/>
    <w:rsid w:val="0066327B"/>
    <w:rsid w:val="006632E7"/>
    <w:rsid w:val="006660EA"/>
    <w:rsid w:val="00666858"/>
    <w:rsid w:val="00666A1E"/>
    <w:rsid w:val="006704E1"/>
    <w:rsid w:val="00670A37"/>
    <w:rsid w:val="00671663"/>
    <w:rsid w:val="0067449F"/>
    <w:rsid w:val="00674554"/>
    <w:rsid w:val="00675755"/>
    <w:rsid w:val="00680BAA"/>
    <w:rsid w:val="006826D1"/>
    <w:rsid w:val="00682C68"/>
    <w:rsid w:val="00683865"/>
    <w:rsid w:val="00686515"/>
    <w:rsid w:val="006913B5"/>
    <w:rsid w:val="00691519"/>
    <w:rsid w:val="00693D96"/>
    <w:rsid w:val="00695D1C"/>
    <w:rsid w:val="0069669C"/>
    <w:rsid w:val="006A156D"/>
    <w:rsid w:val="006A15F8"/>
    <w:rsid w:val="006A554D"/>
    <w:rsid w:val="006A565C"/>
    <w:rsid w:val="006A6515"/>
    <w:rsid w:val="006A6C16"/>
    <w:rsid w:val="006B0294"/>
    <w:rsid w:val="006B0AD8"/>
    <w:rsid w:val="006B30A5"/>
    <w:rsid w:val="006B4579"/>
    <w:rsid w:val="006C2E1B"/>
    <w:rsid w:val="006C2F81"/>
    <w:rsid w:val="006C7033"/>
    <w:rsid w:val="006D4AF9"/>
    <w:rsid w:val="006D5F84"/>
    <w:rsid w:val="006E22CE"/>
    <w:rsid w:val="006E289B"/>
    <w:rsid w:val="006E40DF"/>
    <w:rsid w:val="006E5167"/>
    <w:rsid w:val="006E538C"/>
    <w:rsid w:val="006E5C57"/>
    <w:rsid w:val="006E5CCE"/>
    <w:rsid w:val="006E6332"/>
    <w:rsid w:val="006E6C97"/>
    <w:rsid w:val="006F0390"/>
    <w:rsid w:val="006F0919"/>
    <w:rsid w:val="006F0A46"/>
    <w:rsid w:val="006F1714"/>
    <w:rsid w:val="006F22E1"/>
    <w:rsid w:val="006F56F3"/>
    <w:rsid w:val="00700189"/>
    <w:rsid w:val="007007A0"/>
    <w:rsid w:val="00703DBA"/>
    <w:rsid w:val="007056C7"/>
    <w:rsid w:val="007059E9"/>
    <w:rsid w:val="00706DA3"/>
    <w:rsid w:val="007129C1"/>
    <w:rsid w:val="0072150C"/>
    <w:rsid w:val="0072408F"/>
    <w:rsid w:val="00726982"/>
    <w:rsid w:val="00726D38"/>
    <w:rsid w:val="00727E9A"/>
    <w:rsid w:val="00730472"/>
    <w:rsid w:val="00730C6A"/>
    <w:rsid w:val="00730E96"/>
    <w:rsid w:val="007339E5"/>
    <w:rsid w:val="00734B81"/>
    <w:rsid w:val="0073794B"/>
    <w:rsid w:val="007411A1"/>
    <w:rsid w:val="00741705"/>
    <w:rsid w:val="00744B47"/>
    <w:rsid w:val="00745FB6"/>
    <w:rsid w:val="00750895"/>
    <w:rsid w:val="00750EDC"/>
    <w:rsid w:val="00753257"/>
    <w:rsid w:val="00753F40"/>
    <w:rsid w:val="00754850"/>
    <w:rsid w:val="007555B1"/>
    <w:rsid w:val="00756ED2"/>
    <w:rsid w:val="00764AED"/>
    <w:rsid w:val="00764DF0"/>
    <w:rsid w:val="00764F15"/>
    <w:rsid w:val="007654F7"/>
    <w:rsid w:val="0076559C"/>
    <w:rsid w:val="00767601"/>
    <w:rsid w:val="0077075A"/>
    <w:rsid w:val="00773A2A"/>
    <w:rsid w:val="00774E44"/>
    <w:rsid w:val="007759C2"/>
    <w:rsid w:val="00777110"/>
    <w:rsid w:val="0078021B"/>
    <w:rsid w:val="00781E51"/>
    <w:rsid w:val="0078275A"/>
    <w:rsid w:val="007842D6"/>
    <w:rsid w:val="00787749"/>
    <w:rsid w:val="00790A80"/>
    <w:rsid w:val="007915A1"/>
    <w:rsid w:val="0079733B"/>
    <w:rsid w:val="00797428"/>
    <w:rsid w:val="00797F35"/>
    <w:rsid w:val="007A01E2"/>
    <w:rsid w:val="007A024E"/>
    <w:rsid w:val="007A07DB"/>
    <w:rsid w:val="007A2E79"/>
    <w:rsid w:val="007A5B88"/>
    <w:rsid w:val="007A7929"/>
    <w:rsid w:val="007B05D9"/>
    <w:rsid w:val="007B2607"/>
    <w:rsid w:val="007C1328"/>
    <w:rsid w:val="007C1F5F"/>
    <w:rsid w:val="007C3019"/>
    <w:rsid w:val="007C5040"/>
    <w:rsid w:val="007C638E"/>
    <w:rsid w:val="007D10FD"/>
    <w:rsid w:val="007D2885"/>
    <w:rsid w:val="007D3E00"/>
    <w:rsid w:val="007D402B"/>
    <w:rsid w:val="007D6D75"/>
    <w:rsid w:val="007E4946"/>
    <w:rsid w:val="007E617D"/>
    <w:rsid w:val="007F0417"/>
    <w:rsid w:val="007F0B15"/>
    <w:rsid w:val="007F300E"/>
    <w:rsid w:val="007F336D"/>
    <w:rsid w:val="007F4679"/>
    <w:rsid w:val="007F75FE"/>
    <w:rsid w:val="0080151D"/>
    <w:rsid w:val="00801A3E"/>
    <w:rsid w:val="008027E3"/>
    <w:rsid w:val="00805C92"/>
    <w:rsid w:val="00806A00"/>
    <w:rsid w:val="008074B4"/>
    <w:rsid w:val="00810F5E"/>
    <w:rsid w:val="008121E0"/>
    <w:rsid w:val="008150E1"/>
    <w:rsid w:val="00817831"/>
    <w:rsid w:val="00817D3D"/>
    <w:rsid w:val="00821859"/>
    <w:rsid w:val="00824969"/>
    <w:rsid w:val="008274E4"/>
    <w:rsid w:val="0083085C"/>
    <w:rsid w:val="00831B3D"/>
    <w:rsid w:val="0083229A"/>
    <w:rsid w:val="00832FD5"/>
    <w:rsid w:val="00840BD5"/>
    <w:rsid w:val="00844D99"/>
    <w:rsid w:val="00845D3E"/>
    <w:rsid w:val="008473FC"/>
    <w:rsid w:val="00853780"/>
    <w:rsid w:val="00857F83"/>
    <w:rsid w:val="00861D0C"/>
    <w:rsid w:val="008622B4"/>
    <w:rsid w:val="00867C1C"/>
    <w:rsid w:val="0087045A"/>
    <w:rsid w:val="00870DC8"/>
    <w:rsid w:val="00873754"/>
    <w:rsid w:val="008824FD"/>
    <w:rsid w:val="008829D7"/>
    <w:rsid w:val="00885341"/>
    <w:rsid w:val="0088551D"/>
    <w:rsid w:val="008877F3"/>
    <w:rsid w:val="00887BEF"/>
    <w:rsid w:val="008932D5"/>
    <w:rsid w:val="00894F9C"/>
    <w:rsid w:val="00895494"/>
    <w:rsid w:val="00895DE0"/>
    <w:rsid w:val="00896033"/>
    <w:rsid w:val="0089727A"/>
    <w:rsid w:val="008A0C3C"/>
    <w:rsid w:val="008A1774"/>
    <w:rsid w:val="008A4060"/>
    <w:rsid w:val="008A42B2"/>
    <w:rsid w:val="008A5435"/>
    <w:rsid w:val="008A6258"/>
    <w:rsid w:val="008A72A3"/>
    <w:rsid w:val="008B2BC3"/>
    <w:rsid w:val="008B3AF3"/>
    <w:rsid w:val="008B3DC6"/>
    <w:rsid w:val="008B5D2C"/>
    <w:rsid w:val="008B6963"/>
    <w:rsid w:val="008C2468"/>
    <w:rsid w:val="008C4519"/>
    <w:rsid w:val="008C47E7"/>
    <w:rsid w:val="008C571C"/>
    <w:rsid w:val="008C6511"/>
    <w:rsid w:val="008D0671"/>
    <w:rsid w:val="008D50D7"/>
    <w:rsid w:val="008D5759"/>
    <w:rsid w:val="008D5B84"/>
    <w:rsid w:val="008D6E63"/>
    <w:rsid w:val="008E003C"/>
    <w:rsid w:val="008E03E7"/>
    <w:rsid w:val="008E058B"/>
    <w:rsid w:val="008E0B91"/>
    <w:rsid w:val="008E0E9C"/>
    <w:rsid w:val="008E3263"/>
    <w:rsid w:val="008E560B"/>
    <w:rsid w:val="008E74E7"/>
    <w:rsid w:val="008E79C0"/>
    <w:rsid w:val="008F0A4E"/>
    <w:rsid w:val="008F21DE"/>
    <w:rsid w:val="008F39A0"/>
    <w:rsid w:val="008F6475"/>
    <w:rsid w:val="008F72DC"/>
    <w:rsid w:val="00900A48"/>
    <w:rsid w:val="009043D2"/>
    <w:rsid w:val="0090672F"/>
    <w:rsid w:val="00906DD6"/>
    <w:rsid w:val="00911056"/>
    <w:rsid w:val="00912C14"/>
    <w:rsid w:val="00914C0C"/>
    <w:rsid w:val="00914FE4"/>
    <w:rsid w:val="00916A02"/>
    <w:rsid w:val="0091725D"/>
    <w:rsid w:val="009173F8"/>
    <w:rsid w:val="009202B4"/>
    <w:rsid w:val="00920AB9"/>
    <w:rsid w:val="00920E09"/>
    <w:rsid w:val="00922D4D"/>
    <w:rsid w:val="009234CB"/>
    <w:rsid w:val="00924648"/>
    <w:rsid w:val="00925242"/>
    <w:rsid w:val="00925B3E"/>
    <w:rsid w:val="00926796"/>
    <w:rsid w:val="00933082"/>
    <w:rsid w:val="00933C53"/>
    <w:rsid w:val="00934E2A"/>
    <w:rsid w:val="00935CEA"/>
    <w:rsid w:val="0093776A"/>
    <w:rsid w:val="00940DD3"/>
    <w:rsid w:val="0094659E"/>
    <w:rsid w:val="00946A3F"/>
    <w:rsid w:val="00952A7F"/>
    <w:rsid w:val="00952AEA"/>
    <w:rsid w:val="009532DF"/>
    <w:rsid w:val="009536D5"/>
    <w:rsid w:val="009623E0"/>
    <w:rsid w:val="00962F78"/>
    <w:rsid w:val="0096508A"/>
    <w:rsid w:val="009676E0"/>
    <w:rsid w:val="00967796"/>
    <w:rsid w:val="0097003C"/>
    <w:rsid w:val="00970068"/>
    <w:rsid w:val="009715BA"/>
    <w:rsid w:val="009734DA"/>
    <w:rsid w:val="009736BB"/>
    <w:rsid w:val="009737D1"/>
    <w:rsid w:val="0097445F"/>
    <w:rsid w:val="00975B95"/>
    <w:rsid w:val="009801E4"/>
    <w:rsid w:val="00984A67"/>
    <w:rsid w:val="00990A50"/>
    <w:rsid w:val="00990FB3"/>
    <w:rsid w:val="00992098"/>
    <w:rsid w:val="00992D2C"/>
    <w:rsid w:val="00994953"/>
    <w:rsid w:val="00994E40"/>
    <w:rsid w:val="009A51E8"/>
    <w:rsid w:val="009A5B74"/>
    <w:rsid w:val="009A7A08"/>
    <w:rsid w:val="009A7D7F"/>
    <w:rsid w:val="009B0313"/>
    <w:rsid w:val="009B379A"/>
    <w:rsid w:val="009B4FD1"/>
    <w:rsid w:val="009B6E9E"/>
    <w:rsid w:val="009C0BBD"/>
    <w:rsid w:val="009C0D3D"/>
    <w:rsid w:val="009C0E2F"/>
    <w:rsid w:val="009C10AE"/>
    <w:rsid w:val="009C2A08"/>
    <w:rsid w:val="009D0F69"/>
    <w:rsid w:val="009D3873"/>
    <w:rsid w:val="009D49D4"/>
    <w:rsid w:val="009D580D"/>
    <w:rsid w:val="009D5D74"/>
    <w:rsid w:val="009D66C3"/>
    <w:rsid w:val="009D7885"/>
    <w:rsid w:val="009D794A"/>
    <w:rsid w:val="009E1A0A"/>
    <w:rsid w:val="009E5BD1"/>
    <w:rsid w:val="009E676B"/>
    <w:rsid w:val="009E6C0E"/>
    <w:rsid w:val="009F2CAA"/>
    <w:rsid w:val="009F493A"/>
    <w:rsid w:val="009F6C1B"/>
    <w:rsid w:val="00A00460"/>
    <w:rsid w:val="00A026DE"/>
    <w:rsid w:val="00A026E5"/>
    <w:rsid w:val="00A030DF"/>
    <w:rsid w:val="00A04AC0"/>
    <w:rsid w:val="00A04D72"/>
    <w:rsid w:val="00A04DDA"/>
    <w:rsid w:val="00A05399"/>
    <w:rsid w:val="00A07512"/>
    <w:rsid w:val="00A12006"/>
    <w:rsid w:val="00A122BF"/>
    <w:rsid w:val="00A218E1"/>
    <w:rsid w:val="00A23D6B"/>
    <w:rsid w:val="00A24701"/>
    <w:rsid w:val="00A255B9"/>
    <w:rsid w:val="00A30516"/>
    <w:rsid w:val="00A32503"/>
    <w:rsid w:val="00A32A49"/>
    <w:rsid w:val="00A32E1B"/>
    <w:rsid w:val="00A332B3"/>
    <w:rsid w:val="00A34126"/>
    <w:rsid w:val="00A343E2"/>
    <w:rsid w:val="00A35A13"/>
    <w:rsid w:val="00A37610"/>
    <w:rsid w:val="00A379D7"/>
    <w:rsid w:val="00A37FC1"/>
    <w:rsid w:val="00A41B41"/>
    <w:rsid w:val="00A42CA3"/>
    <w:rsid w:val="00A435E2"/>
    <w:rsid w:val="00A43DF2"/>
    <w:rsid w:val="00A4415E"/>
    <w:rsid w:val="00A452CA"/>
    <w:rsid w:val="00A4543C"/>
    <w:rsid w:val="00A461D4"/>
    <w:rsid w:val="00A510B4"/>
    <w:rsid w:val="00A544C8"/>
    <w:rsid w:val="00A54D3E"/>
    <w:rsid w:val="00A556BD"/>
    <w:rsid w:val="00A61787"/>
    <w:rsid w:val="00A61BB4"/>
    <w:rsid w:val="00A70017"/>
    <w:rsid w:val="00A73C15"/>
    <w:rsid w:val="00A76D9E"/>
    <w:rsid w:val="00A76F83"/>
    <w:rsid w:val="00A808DB"/>
    <w:rsid w:val="00A81A2D"/>
    <w:rsid w:val="00A84A19"/>
    <w:rsid w:val="00A86769"/>
    <w:rsid w:val="00A92502"/>
    <w:rsid w:val="00A93650"/>
    <w:rsid w:val="00A93BFA"/>
    <w:rsid w:val="00A97083"/>
    <w:rsid w:val="00AA18BE"/>
    <w:rsid w:val="00AA22F1"/>
    <w:rsid w:val="00AA3350"/>
    <w:rsid w:val="00AA55B1"/>
    <w:rsid w:val="00AA6207"/>
    <w:rsid w:val="00AA6EE9"/>
    <w:rsid w:val="00AB0B5D"/>
    <w:rsid w:val="00AB327F"/>
    <w:rsid w:val="00AB7355"/>
    <w:rsid w:val="00AC467C"/>
    <w:rsid w:val="00AC49D6"/>
    <w:rsid w:val="00AC6AAB"/>
    <w:rsid w:val="00AC6D00"/>
    <w:rsid w:val="00AC7BD4"/>
    <w:rsid w:val="00AD4E40"/>
    <w:rsid w:val="00AE1539"/>
    <w:rsid w:val="00AE557C"/>
    <w:rsid w:val="00AE5814"/>
    <w:rsid w:val="00AE7631"/>
    <w:rsid w:val="00AF1609"/>
    <w:rsid w:val="00AF5CDC"/>
    <w:rsid w:val="00AF72A6"/>
    <w:rsid w:val="00B00305"/>
    <w:rsid w:val="00B006EB"/>
    <w:rsid w:val="00B02748"/>
    <w:rsid w:val="00B03617"/>
    <w:rsid w:val="00B0489C"/>
    <w:rsid w:val="00B05A9F"/>
    <w:rsid w:val="00B10187"/>
    <w:rsid w:val="00B1105C"/>
    <w:rsid w:val="00B1496A"/>
    <w:rsid w:val="00B15B90"/>
    <w:rsid w:val="00B16B0E"/>
    <w:rsid w:val="00B1789C"/>
    <w:rsid w:val="00B217EC"/>
    <w:rsid w:val="00B2669B"/>
    <w:rsid w:val="00B2682B"/>
    <w:rsid w:val="00B278BE"/>
    <w:rsid w:val="00B30BA0"/>
    <w:rsid w:val="00B33109"/>
    <w:rsid w:val="00B34F91"/>
    <w:rsid w:val="00B37325"/>
    <w:rsid w:val="00B465BF"/>
    <w:rsid w:val="00B46F00"/>
    <w:rsid w:val="00B47B50"/>
    <w:rsid w:val="00B51FDC"/>
    <w:rsid w:val="00B5377F"/>
    <w:rsid w:val="00B545C5"/>
    <w:rsid w:val="00B56248"/>
    <w:rsid w:val="00B56702"/>
    <w:rsid w:val="00B571A5"/>
    <w:rsid w:val="00B612F8"/>
    <w:rsid w:val="00B613F9"/>
    <w:rsid w:val="00B614BE"/>
    <w:rsid w:val="00B62669"/>
    <w:rsid w:val="00B64583"/>
    <w:rsid w:val="00B64A38"/>
    <w:rsid w:val="00B64A97"/>
    <w:rsid w:val="00B66033"/>
    <w:rsid w:val="00B705AC"/>
    <w:rsid w:val="00B735C9"/>
    <w:rsid w:val="00B75602"/>
    <w:rsid w:val="00B76049"/>
    <w:rsid w:val="00B77809"/>
    <w:rsid w:val="00B77EC5"/>
    <w:rsid w:val="00B831B0"/>
    <w:rsid w:val="00B8503F"/>
    <w:rsid w:val="00B856EC"/>
    <w:rsid w:val="00B8577C"/>
    <w:rsid w:val="00B86F3F"/>
    <w:rsid w:val="00B93063"/>
    <w:rsid w:val="00B93891"/>
    <w:rsid w:val="00B966CF"/>
    <w:rsid w:val="00B97FEA"/>
    <w:rsid w:val="00BA0BAA"/>
    <w:rsid w:val="00BA0DC2"/>
    <w:rsid w:val="00BA19B0"/>
    <w:rsid w:val="00BA41C1"/>
    <w:rsid w:val="00BA62BB"/>
    <w:rsid w:val="00BA6718"/>
    <w:rsid w:val="00BA7FC7"/>
    <w:rsid w:val="00BB1859"/>
    <w:rsid w:val="00BB2430"/>
    <w:rsid w:val="00BB3366"/>
    <w:rsid w:val="00BB4745"/>
    <w:rsid w:val="00BB6375"/>
    <w:rsid w:val="00BB7D05"/>
    <w:rsid w:val="00BC2E57"/>
    <w:rsid w:val="00BC4878"/>
    <w:rsid w:val="00BC6635"/>
    <w:rsid w:val="00BC6B13"/>
    <w:rsid w:val="00BC6FC3"/>
    <w:rsid w:val="00BC716C"/>
    <w:rsid w:val="00BC7CF4"/>
    <w:rsid w:val="00BC7DA7"/>
    <w:rsid w:val="00BD0AEB"/>
    <w:rsid w:val="00BD2405"/>
    <w:rsid w:val="00BD2856"/>
    <w:rsid w:val="00BD2EEB"/>
    <w:rsid w:val="00BD45EF"/>
    <w:rsid w:val="00BD7931"/>
    <w:rsid w:val="00BE16D0"/>
    <w:rsid w:val="00BE234A"/>
    <w:rsid w:val="00BE2D83"/>
    <w:rsid w:val="00BE4840"/>
    <w:rsid w:val="00BE5725"/>
    <w:rsid w:val="00BF19DB"/>
    <w:rsid w:val="00BF3786"/>
    <w:rsid w:val="00BF5053"/>
    <w:rsid w:val="00BF57CD"/>
    <w:rsid w:val="00BF59B2"/>
    <w:rsid w:val="00C00531"/>
    <w:rsid w:val="00C0339F"/>
    <w:rsid w:val="00C04D3B"/>
    <w:rsid w:val="00C05C7E"/>
    <w:rsid w:val="00C06BE0"/>
    <w:rsid w:val="00C0717E"/>
    <w:rsid w:val="00C0786C"/>
    <w:rsid w:val="00C1077A"/>
    <w:rsid w:val="00C10846"/>
    <w:rsid w:val="00C11186"/>
    <w:rsid w:val="00C11D8F"/>
    <w:rsid w:val="00C12FE4"/>
    <w:rsid w:val="00C13D1A"/>
    <w:rsid w:val="00C1511C"/>
    <w:rsid w:val="00C1656E"/>
    <w:rsid w:val="00C22429"/>
    <w:rsid w:val="00C22BFA"/>
    <w:rsid w:val="00C327F6"/>
    <w:rsid w:val="00C32822"/>
    <w:rsid w:val="00C332F0"/>
    <w:rsid w:val="00C34D8B"/>
    <w:rsid w:val="00C40D2B"/>
    <w:rsid w:val="00C42A2B"/>
    <w:rsid w:val="00C430E0"/>
    <w:rsid w:val="00C43B16"/>
    <w:rsid w:val="00C43BE1"/>
    <w:rsid w:val="00C45F71"/>
    <w:rsid w:val="00C52BEC"/>
    <w:rsid w:val="00C536DC"/>
    <w:rsid w:val="00C5642D"/>
    <w:rsid w:val="00C6216E"/>
    <w:rsid w:val="00C67186"/>
    <w:rsid w:val="00C67655"/>
    <w:rsid w:val="00C71813"/>
    <w:rsid w:val="00C72FF2"/>
    <w:rsid w:val="00C732A2"/>
    <w:rsid w:val="00C73DAC"/>
    <w:rsid w:val="00C75DB4"/>
    <w:rsid w:val="00C75F66"/>
    <w:rsid w:val="00C767AC"/>
    <w:rsid w:val="00C775BD"/>
    <w:rsid w:val="00C816B9"/>
    <w:rsid w:val="00C81A60"/>
    <w:rsid w:val="00C8222D"/>
    <w:rsid w:val="00C828A1"/>
    <w:rsid w:val="00C82F5C"/>
    <w:rsid w:val="00C83507"/>
    <w:rsid w:val="00C846F9"/>
    <w:rsid w:val="00C86187"/>
    <w:rsid w:val="00C862C5"/>
    <w:rsid w:val="00C871D7"/>
    <w:rsid w:val="00C9063C"/>
    <w:rsid w:val="00C91687"/>
    <w:rsid w:val="00C928BF"/>
    <w:rsid w:val="00C93E0F"/>
    <w:rsid w:val="00C95930"/>
    <w:rsid w:val="00C95A4A"/>
    <w:rsid w:val="00C95EB9"/>
    <w:rsid w:val="00C9640A"/>
    <w:rsid w:val="00C96975"/>
    <w:rsid w:val="00C96BF5"/>
    <w:rsid w:val="00CA27A3"/>
    <w:rsid w:val="00CA4A91"/>
    <w:rsid w:val="00CB38BB"/>
    <w:rsid w:val="00CB6072"/>
    <w:rsid w:val="00CC0272"/>
    <w:rsid w:val="00CC10B6"/>
    <w:rsid w:val="00CC1E28"/>
    <w:rsid w:val="00CC39B4"/>
    <w:rsid w:val="00CC55E0"/>
    <w:rsid w:val="00CC6351"/>
    <w:rsid w:val="00CD3EF3"/>
    <w:rsid w:val="00CD4E82"/>
    <w:rsid w:val="00CD6B95"/>
    <w:rsid w:val="00CE34C7"/>
    <w:rsid w:val="00CE3AEA"/>
    <w:rsid w:val="00CE4B6F"/>
    <w:rsid w:val="00CE58B6"/>
    <w:rsid w:val="00CE5DB8"/>
    <w:rsid w:val="00CE669D"/>
    <w:rsid w:val="00CE6963"/>
    <w:rsid w:val="00CE74D7"/>
    <w:rsid w:val="00CF411C"/>
    <w:rsid w:val="00CF4EB5"/>
    <w:rsid w:val="00CF50AB"/>
    <w:rsid w:val="00CF5929"/>
    <w:rsid w:val="00CF64B1"/>
    <w:rsid w:val="00CF7312"/>
    <w:rsid w:val="00D03E86"/>
    <w:rsid w:val="00D04DA3"/>
    <w:rsid w:val="00D05073"/>
    <w:rsid w:val="00D07E88"/>
    <w:rsid w:val="00D10720"/>
    <w:rsid w:val="00D1099A"/>
    <w:rsid w:val="00D1169A"/>
    <w:rsid w:val="00D1293C"/>
    <w:rsid w:val="00D16391"/>
    <w:rsid w:val="00D220E3"/>
    <w:rsid w:val="00D2588F"/>
    <w:rsid w:val="00D261E5"/>
    <w:rsid w:val="00D26607"/>
    <w:rsid w:val="00D26CC0"/>
    <w:rsid w:val="00D2735F"/>
    <w:rsid w:val="00D32ADE"/>
    <w:rsid w:val="00D32FFD"/>
    <w:rsid w:val="00D43DA1"/>
    <w:rsid w:val="00D44B94"/>
    <w:rsid w:val="00D51B75"/>
    <w:rsid w:val="00D51F6E"/>
    <w:rsid w:val="00D5246C"/>
    <w:rsid w:val="00D5271F"/>
    <w:rsid w:val="00D52872"/>
    <w:rsid w:val="00D54833"/>
    <w:rsid w:val="00D55FB4"/>
    <w:rsid w:val="00D5636A"/>
    <w:rsid w:val="00D57012"/>
    <w:rsid w:val="00D61652"/>
    <w:rsid w:val="00D61CF0"/>
    <w:rsid w:val="00D63441"/>
    <w:rsid w:val="00D670F4"/>
    <w:rsid w:val="00D701C2"/>
    <w:rsid w:val="00D722A7"/>
    <w:rsid w:val="00D75703"/>
    <w:rsid w:val="00D84F90"/>
    <w:rsid w:val="00D8521B"/>
    <w:rsid w:val="00D85E6F"/>
    <w:rsid w:val="00D8760D"/>
    <w:rsid w:val="00D93AC3"/>
    <w:rsid w:val="00D93CC7"/>
    <w:rsid w:val="00D9424C"/>
    <w:rsid w:val="00D94ADF"/>
    <w:rsid w:val="00D9785F"/>
    <w:rsid w:val="00D97E24"/>
    <w:rsid w:val="00DA16BF"/>
    <w:rsid w:val="00DA399B"/>
    <w:rsid w:val="00DB1349"/>
    <w:rsid w:val="00DB65B1"/>
    <w:rsid w:val="00DB71A9"/>
    <w:rsid w:val="00DC1D34"/>
    <w:rsid w:val="00DC2E6D"/>
    <w:rsid w:val="00DC3BE7"/>
    <w:rsid w:val="00DC5120"/>
    <w:rsid w:val="00DC6A70"/>
    <w:rsid w:val="00DD1A0D"/>
    <w:rsid w:val="00DD67D9"/>
    <w:rsid w:val="00DE4484"/>
    <w:rsid w:val="00DE4F64"/>
    <w:rsid w:val="00DE6011"/>
    <w:rsid w:val="00DF13C7"/>
    <w:rsid w:val="00DF182D"/>
    <w:rsid w:val="00DF1931"/>
    <w:rsid w:val="00DF4CEC"/>
    <w:rsid w:val="00E012AC"/>
    <w:rsid w:val="00E046F3"/>
    <w:rsid w:val="00E05734"/>
    <w:rsid w:val="00E0636F"/>
    <w:rsid w:val="00E112C4"/>
    <w:rsid w:val="00E11616"/>
    <w:rsid w:val="00E142D3"/>
    <w:rsid w:val="00E16EC5"/>
    <w:rsid w:val="00E175BA"/>
    <w:rsid w:val="00E17EA5"/>
    <w:rsid w:val="00E202FF"/>
    <w:rsid w:val="00E21396"/>
    <w:rsid w:val="00E2222C"/>
    <w:rsid w:val="00E23304"/>
    <w:rsid w:val="00E23566"/>
    <w:rsid w:val="00E235D4"/>
    <w:rsid w:val="00E2519D"/>
    <w:rsid w:val="00E25744"/>
    <w:rsid w:val="00E263EB"/>
    <w:rsid w:val="00E2648D"/>
    <w:rsid w:val="00E27065"/>
    <w:rsid w:val="00E27DF3"/>
    <w:rsid w:val="00E27F5B"/>
    <w:rsid w:val="00E319E0"/>
    <w:rsid w:val="00E32E17"/>
    <w:rsid w:val="00E36B2D"/>
    <w:rsid w:val="00E45051"/>
    <w:rsid w:val="00E45F63"/>
    <w:rsid w:val="00E46ED7"/>
    <w:rsid w:val="00E5072E"/>
    <w:rsid w:val="00E51131"/>
    <w:rsid w:val="00E520B7"/>
    <w:rsid w:val="00E52179"/>
    <w:rsid w:val="00E52A7F"/>
    <w:rsid w:val="00E530B1"/>
    <w:rsid w:val="00E546E8"/>
    <w:rsid w:val="00E5472D"/>
    <w:rsid w:val="00E54757"/>
    <w:rsid w:val="00E550AE"/>
    <w:rsid w:val="00E629C3"/>
    <w:rsid w:val="00E6460E"/>
    <w:rsid w:val="00E65F2C"/>
    <w:rsid w:val="00E65FD2"/>
    <w:rsid w:val="00E67613"/>
    <w:rsid w:val="00E7133E"/>
    <w:rsid w:val="00E7289F"/>
    <w:rsid w:val="00E72DDC"/>
    <w:rsid w:val="00E72EEF"/>
    <w:rsid w:val="00E731EA"/>
    <w:rsid w:val="00E742E7"/>
    <w:rsid w:val="00E7650E"/>
    <w:rsid w:val="00E7724F"/>
    <w:rsid w:val="00E82931"/>
    <w:rsid w:val="00E82AAA"/>
    <w:rsid w:val="00E83F7E"/>
    <w:rsid w:val="00E86ECD"/>
    <w:rsid w:val="00E90877"/>
    <w:rsid w:val="00E90C55"/>
    <w:rsid w:val="00E90E61"/>
    <w:rsid w:val="00E93AD6"/>
    <w:rsid w:val="00E9691C"/>
    <w:rsid w:val="00E96D52"/>
    <w:rsid w:val="00E97504"/>
    <w:rsid w:val="00EA0DEC"/>
    <w:rsid w:val="00EA119F"/>
    <w:rsid w:val="00EA2969"/>
    <w:rsid w:val="00EA44FC"/>
    <w:rsid w:val="00EA7E81"/>
    <w:rsid w:val="00EB2F92"/>
    <w:rsid w:val="00EB5C0F"/>
    <w:rsid w:val="00EB5FE8"/>
    <w:rsid w:val="00EB6732"/>
    <w:rsid w:val="00EB77BE"/>
    <w:rsid w:val="00EC1712"/>
    <w:rsid w:val="00EC44C8"/>
    <w:rsid w:val="00EC4BA0"/>
    <w:rsid w:val="00EC62CB"/>
    <w:rsid w:val="00ED053F"/>
    <w:rsid w:val="00ED66E9"/>
    <w:rsid w:val="00ED6810"/>
    <w:rsid w:val="00EE4975"/>
    <w:rsid w:val="00EE70DD"/>
    <w:rsid w:val="00EF07EB"/>
    <w:rsid w:val="00EF23DD"/>
    <w:rsid w:val="00EF3F9C"/>
    <w:rsid w:val="00EF42E9"/>
    <w:rsid w:val="00EF4481"/>
    <w:rsid w:val="00EF5C2F"/>
    <w:rsid w:val="00F0037F"/>
    <w:rsid w:val="00F03542"/>
    <w:rsid w:val="00F03A3D"/>
    <w:rsid w:val="00F04984"/>
    <w:rsid w:val="00F049E7"/>
    <w:rsid w:val="00F0568A"/>
    <w:rsid w:val="00F120B9"/>
    <w:rsid w:val="00F13674"/>
    <w:rsid w:val="00F14333"/>
    <w:rsid w:val="00F144C2"/>
    <w:rsid w:val="00F16643"/>
    <w:rsid w:val="00F17EE3"/>
    <w:rsid w:val="00F23F39"/>
    <w:rsid w:val="00F24363"/>
    <w:rsid w:val="00F24A9E"/>
    <w:rsid w:val="00F264F4"/>
    <w:rsid w:val="00F305A3"/>
    <w:rsid w:val="00F35FA3"/>
    <w:rsid w:val="00F36B50"/>
    <w:rsid w:val="00F44223"/>
    <w:rsid w:val="00F50320"/>
    <w:rsid w:val="00F50D13"/>
    <w:rsid w:val="00F512EC"/>
    <w:rsid w:val="00F52130"/>
    <w:rsid w:val="00F53A55"/>
    <w:rsid w:val="00F53AC3"/>
    <w:rsid w:val="00F603A1"/>
    <w:rsid w:val="00F65398"/>
    <w:rsid w:val="00F6788B"/>
    <w:rsid w:val="00F67B38"/>
    <w:rsid w:val="00F702A1"/>
    <w:rsid w:val="00F72C90"/>
    <w:rsid w:val="00F80BCF"/>
    <w:rsid w:val="00F81FA5"/>
    <w:rsid w:val="00F84F7F"/>
    <w:rsid w:val="00F85ABE"/>
    <w:rsid w:val="00F85ED5"/>
    <w:rsid w:val="00F87749"/>
    <w:rsid w:val="00F90AD3"/>
    <w:rsid w:val="00F92287"/>
    <w:rsid w:val="00F92766"/>
    <w:rsid w:val="00F930BD"/>
    <w:rsid w:val="00F96283"/>
    <w:rsid w:val="00F96513"/>
    <w:rsid w:val="00FA0F73"/>
    <w:rsid w:val="00FA2BD0"/>
    <w:rsid w:val="00FA649F"/>
    <w:rsid w:val="00FB61BB"/>
    <w:rsid w:val="00FB61C4"/>
    <w:rsid w:val="00FC05A8"/>
    <w:rsid w:val="00FC0772"/>
    <w:rsid w:val="00FC1A8C"/>
    <w:rsid w:val="00FC4305"/>
    <w:rsid w:val="00FC5B4B"/>
    <w:rsid w:val="00FD1B3A"/>
    <w:rsid w:val="00FD2E87"/>
    <w:rsid w:val="00FD54CF"/>
    <w:rsid w:val="00FD5D8B"/>
    <w:rsid w:val="00FD6DE7"/>
    <w:rsid w:val="00FD761A"/>
    <w:rsid w:val="00FE05A2"/>
    <w:rsid w:val="00FE0C81"/>
    <w:rsid w:val="00FE6AB0"/>
    <w:rsid w:val="00FF083A"/>
    <w:rsid w:val="00FF220A"/>
    <w:rsid w:val="00FF3430"/>
    <w:rsid w:val="00FF3478"/>
    <w:rsid w:val="00FF3F5D"/>
    <w:rsid w:val="00FF4E5A"/>
    <w:rsid w:val="00FF545C"/>
    <w:rsid w:val="00FF5E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4CD2DD1B-9440-4DC2-A7CB-442AEF1E0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DEC"/>
    <w:rPr>
      <w:sz w:val="24"/>
      <w:szCs w:val="24"/>
    </w:rPr>
  </w:style>
  <w:style w:type="paragraph" w:styleId="Heading1">
    <w:name w:val="heading 1"/>
    <w:basedOn w:val="Normal"/>
    <w:next w:val="Normal"/>
    <w:link w:val="Heading1Char"/>
    <w:qFormat/>
    <w:rsid w:val="00BA0DC2"/>
    <w:pPr>
      <w:keepNext/>
      <w:outlineLvl w:val="0"/>
    </w:pPr>
    <w:rPr>
      <w:b/>
      <w:szCs w:val="20"/>
    </w:rPr>
  </w:style>
  <w:style w:type="paragraph" w:styleId="Heading4">
    <w:name w:val="heading 4"/>
    <w:basedOn w:val="Normal"/>
    <w:next w:val="Normal"/>
    <w:qFormat/>
    <w:rsid w:val="00734B81"/>
    <w:pPr>
      <w:keepNext/>
      <w:spacing w:before="240" w:after="60"/>
      <w:outlineLvl w:val="3"/>
    </w:pPr>
    <w:rPr>
      <w:b/>
      <w:bCs/>
      <w:sz w:val="28"/>
      <w:szCs w:val="28"/>
      <w:lang w:eastAsia="en-US"/>
    </w:rPr>
  </w:style>
  <w:style w:type="paragraph" w:styleId="Heading5">
    <w:name w:val="heading 5"/>
    <w:basedOn w:val="Normal"/>
    <w:next w:val="Normal"/>
    <w:link w:val="Heading5Char"/>
    <w:qFormat/>
    <w:rsid w:val="00BA0DC2"/>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BA0DC2"/>
    <w:pPr>
      <w:keepNext/>
      <w:keepLines/>
      <w:spacing w:before="200" w:line="276" w:lineRule="auto"/>
      <w:outlineLvl w:val="5"/>
    </w:pPr>
    <w:rPr>
      <w:rFonts w:ascii="Cambria" w:hAnsi="Cambria"/>
      <w:i/>
      <w:iCs/>
      <w:color w:val="243F6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43523"/>
    <w:pPr>
      <w:tabs>
        <w:tab w:val="center" w:pos="4153"/>
        <w:tab w:val="right" w:pos="8306"/>
      </w:tabs>
    </w:pPr>
  </w:style>
  <w:style w:type="character" w:styleId="PageNumber">
    <w:name w:val="page number"/>
    <w:basedOn w:val="DefaultParagraphFont"/>
    <w:rsid w:val="00443523"/>
  </w:style>
  <w:style w:type="paragraph" w:styleId="FootnoteText">
    <w:name w:val="footnote text"/>
    <w:basedOn w:val="Normal"/>
    <w:link w:val="FootnoteTextChar"/>
    <w:uiPriority w:val="99"/>
    <w:semiHidden/>
    <w:rsid w:val="00646D16"/>
    <w:rPr>
      <w:sz w:val="20"/>
      <w:szCs w:val="20"/>
    </w:rPr>
  </w:style>
  <w:style w:type="character" w:styleId="FootnoteReference">
    <w:name w:val="footnote reference"/>
    <w:uiPriority w:val="99"/>
    <w:semiHidden/>
    <w:rsid w:val="00646D16"/>
    <w:rPr>
      <w:vertAlign w:val="superscript"/>
    </w:rPr>
  </w:style>
  <w:style w:type="character" w:styleId="Hyperlink">
    <w:name w:val="Hyperlink"/>
    <w:rsid w:val="00646D16"/>
    <w:rPr>
      <w:color w:val="0000FF"/>
      <w:u w:val="single"/>
    </w:rPr>
  </w:style>
  <w:style w:type="character" w:styleId="FollowedHyperlink">
    <w:name w:val="FollowedHyperlink"/>
    <w:rsid w:val="00646D16"/>
    <w:rPr>
      <w:color w:val="800080"/>
      <w:u w:val="single"/>
    </w:rPr>
  </w:style>
  <w:style w:type="paragraph" w:styleId="BalloonText">
    <w:name w:val="Balloon Text"/>
    <w:basedOn w:val="Normal"/>
    <w:link w:val="BalloonTextChar"/>
    <w:semiHidden/>
    <w:rsid w:val="00023318"/>
    <w:rPr>
      <w:rFonts w:ascii="Tahoma" w:hAnsi="Tahoma" w:cs="Tahoma"/>
      <w:sz w:val="16"/>
      <w:szCs w:val="16"/>
    </w:rPr>
  </w:style>
  <w:style w:type="paragraph" w:styleId="BodyText">
    <w:name w:val="Body Text"/>
    <w:basedOn w:val="Normal"/>
    <w:link w:val="BodyTextChar"/>
    <w:rsid w:val="00734B81"/>
    <w:pPr>
      <w:jc w:val="both"/>
    </w:pPr>
    <w:rPr>
      <w:lang w:val="en" w:eastAsia="en-US"/>
    </w:rPr>
  </w:style>
  <w:style w:type="paragraph" w:customStyle="1" w:styleId="Default">
    <w:name w:val="Default"/>
    <w:rsid w:val="00124474"/>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77075A"/>
    <w:pPr>
      <w:tabs>
        <w:tab w:val="center" w:pos="4153"/>
        <w:tab w:val="right" w:pos="8306"/>
      </w:tabs>
    </w:pPr>
  </w:style>
  <w:style w:type="paragraph" w:styleId="NormalWeb">
    <w:name w:val="Normal (Web)"/>
    <w:basedOn w:val="Normal"/>
    <w:uiPriority w:val="99"/>
    <w:rsid w:val="0090672F"/>
    <w:pPr>
      <w:spacing w:after="240"/>
    </w:pPr>
  </w:style>
  <w:style w:type="character" w:styleId="CommentReference">
    <w:name w:val="annotation reference"/>
    <w:semiHidden/>
    <w:rsid w:val="00975B95"/>
    <w:rPr>
      <w:sz w:val="16"/>
      <w:szCs w:val="16"/>
    </w:rPr>
  </w:style>
  <w:style w:type="paragraph" w:styleId="CommentText">
    <w:name w:val="annotation text"/>
    <w:basedOn w:val="Normal"/>
    <w:link w:val="CommentTextChar"/>
    <w:semiHidden/>
    <w:rsid w:val="00975B95"/>
    <w:rPr>
      <w:sz w:val="20"/>
      <w:szCs w:val="20"/>
    </w:rPr>
  </w:style>
  <w:style w:type="paragraph" w:styleId="CommentSubject">
    <w:name w:val="annotation subject"/>
    <w:basedOn w:val="CommentText"/>
    <w:next w:val="CommentText"/>
    <w:link w:val="CommentSubjectChar"/>
    <w:semiHidden/>
    <w:rsid w:val="009736BB"/>
    <w:rPr>
      <w:b/>
      <w:bCs/>
    </w:rPr>
  </w:style>
  <w:style w:type="paragraph" w:styleId="DocumentMap">
    <w:name w:val="Document Map"/>
    <w:basedOn w:val="Normal"/>
    <w:link w:val="DocumentMapChar"/>
    <w:semiHidden/>
    <w:rsid w:val="000E21FF"/>
    <w:pPr>
      <w:shd w:val="clear" w:color="auto" w:fill="000080"/>
    </w:pPr>
    <w:rPr>
      <w:rFonts w:ascii="Tahoma" w:hAnsi="Tahoma" w:cs="Tahoma"/>
      <w:sz w:val="20"/>
      <w:szCs w:val="20"/>
    </w:rPr>
  </w:style>
  <w:style w:type="paragraph" w:customStyle="1" w:styleId="default0">
    <w:name w:val="default"/>
    <w:basedOn w:val="Normal"/>
    <w:rsid w:val="00E7133E"/>
    <w:pPr>
      <w:spacing w:before="100" w:beforeAutospacing="1" w:after="100" w:afterAutospacing="1"/>
    </w:pPr>
  </w:style>
  <w:style w:type="paragraph" w:styleId="ListParagraph">
    <w:name w:val="List Paragraph"/>
    <w:basedOn w:val="Normal"/>
    <w:uiPriority w:val="34"/>
    <w:qFormat/>
    <w:rsid w:val="00952A7F"/>
    <w:pPr>
      <w:spacing w:after="200" w:line="276" w:lineRule="auto"/>
      <w:ind w:left="720"/>
      <w:contextualSpacing/>
    </w:pPr>
    <w:rPr>
      <w:rFonts w:ascii="Calibri" w:eastAsia="Calibri" w:hAnsi="Calibri"/>
      <w:sz w:val="22"/>
      <w:szCs w:val="22"/>
      <w:lang w:eastAsia="en-US"/>
    </w:rPr>
  </w:style>
  <w:style w:type="character" w:customStyle="1" w:styleId="Heading1Char">
    <w:name w:val="Heading 1 Char"/>
    <w:link w:val="Heading1"/>
    <w:rsid w:val="00BA0DC2"/>
    <w:rPr>
      <w:b/>
      <w:sz w:val="24"/>
    </w:rPr>
  </w:style>
  <w:style w:type="character" w:customStyle="1" w:styleId="Heading5Char">
    <w:name w:val="Heading 5 Char"/>
    <w:link w:val="Heading5"/>
    <w:rsid w:val="00BA0DC2"/>
    <w:rPr>
      <w:b/>
      <w:bCs/>
      <w:i/>
      <w:iCs/>
      <w:sz w:val="26"/>
      <w:szCs w:val="26"/>
    </w:rPr>
  </w:style>
  <w:style w:type="character" w:customStyle="1" w:styleId="Heading6Char">
    <w:name w:val="Heading 6 Char"/>
    <w:link w:val="Heading6"/>
    <w:uiPriority w:val="9"/>
    <w:rsid w:val="00BA0DC2"/>
    <w:rPr>
      <w:rFonts w:ascii="Cambria" w:hAnsi="Cambria"/>
      <w:i/>
      <w:iCs/>
      <w:color w:val="243F60"/>
      <w:sz w:val="22"/>
      <w:szCs w:val="22"/>
      <w:lang w:eastAsia="en-US"/>
    </w:rPr>
  </w:style>
  <w:style w:type="numbering" w:customStyle="1" w:styleId="NoList1">
    <w:name w:val="No List1"/>
    <w:next w:val="NoList"/>
    <w:uiPriority w:val="99"/>
    <w:semiHidden/>
    <w:unhideWhenUsed/>
    <w:rsid w:val="00BA0DC2"/>
  </w:style>
  <w:style w:type="numbering" w:customStyle="1" w:styleId="NoList11">
    <w:name w:val="No List11"/>
    <w:next w:val="NoList"/>
    <w:uiPriority w:val="99"/>
    <w:semiHidden/>
    <w:unhideWhenUsed/>
    <w:rsid w:val="00BA0DC2"/>
  </w:style>
  <w:style w:type="paragraph" w:customStyle="1" w:styleId="CharChar2CharCharCharCharCharCharChar">
    <w:name w:val="Char Char2 Char Char Char Char Char Char Char"/>
    <w:basedOn w:val="Normal"/>
    <w:rsid w:val="00BA0DC2"/>
    <w:pPr>
      <w:spacing w:after="160" w:line="240" w:lineRule="exact"/>
    </w:pPr>
    <w:rPr>
      <w:rFonts w:ascii="Verdana" w:hAnsi="Verdana"/>
      <w:sz w:val="20"/>
      <w:szCs w:val="20"/>
      <w:lang w:val="en-US" w:eastAsia="en-US"/>
    </w:rPr>
  </w:style>
  <w:style w:type="character" w:customStyle="1" w:styleId="FootnoteTextChar">
    <w:name w:val="Footnote Text Char"/>
    <w:link w:val="FootnoteText"/>
    <w:uiPriority w:val="99"/>
    <w:semiHidden/>
    <w:rsid w:val="00BA0DC2"/>
  </w:style>
  <w:style w:type="character" w:customStyle="1" w:styleId="CommentTextChar">
    <w:name w:val="Comment Text Char"/>
    <w:link w:val="CommentText"/>
    <w:semiHidden/>
    <w:rsid w:val="00BA0DC2"/>
  </w:style>
  <w:style w:type="paragraph" w:customStyle="1" w:styleId="Heading48">
    <w:name w:val="Heading 48"/>
    <w:basedOn w:val="Normal"/>
    <w:rsid w:val="00BA0DC2"/>
    <w:pPr>
      <w:shd w:val="clear" w:color="auto" w:fill="FFFFFF"/>
      <w:spacing w:line="288" w:lineRule="atLeast"/>
      <w:outlineLvl w:val="4"/>
    </w:pPr>
    <w:rPr>
      <w:color w:val="000000"/>
    </w:rPr>
  </w:style>
  <w:style w:type="character" w:customStyle="1" w:styleId="BalloonTextChar">
    <w:name w:val="Balloon Text Char"/>
    <w:link w:val="BalloonText"/>
    <w:semiHidden/>
    <w:rsid w:val="00BA0DC2"/>
    <w:rPr>
      <w:rFonts w:ascii="Tahoma" w:hAnsi="Tahoma" w:cs="Tahoma"/>
      <w:sz w:val="16"/>
      <w:szCs w:val="16"/>
    </w:rPr>
  </w:style>
  <w:style w:type="character" w:customStyle="1" w:styleId="CommentSubjectChar">
    <w:name w:val="Comment Subject Char"/>
    <w:link w:val="CommentSubject"/>
    <w:semiHidden/>
    <w:rsid w:val="00BA0DC2"/>
    <w:rPr>
      <w:b/>
      <w:bCs/>
    </w:rPr>
  </w:style>
  <w:style w:type="character" w:customStyle="1" w:styleId="HeaderChar">
    <w:name w:val="Header Char"/>
    <w:link w:val="Header"/>
    <w:uiPriority w:val="99"/>
    <w:rsid w:val="00BA0DC2"/>
    <w:rPr>
      <w:sz w:val="24"/>
      <w:szCs w:val="24"/>
    </w:rPr>
  </w:style>
  <w:style w:type="character" w:customStyle="1" w:styleId="FooterChar">
    <w:name w:val="Footer Char"/>
    <w:link w:val="Footer"/>
    <w:uiPriority w:val="99"/>
    <w:rsid w:val="00BA0DC2"/>
    <w:rPr>
      <w:sz w:val="24"/>
      <w:szCs w:val="24"/>
    </w:rPr>
  </w:style>
  <w:style w:type="character" w:customStyle="1" w:styleId="legdslegrhslegp4text1">
    <w:name w:val="legds legrhs legp4text1"/>
    <w:rsid w:val="00BA0DC2"/>
    <w:rPr>
      <w:vanish w:val="0"/>
      <w:webHidden w:val="0"/>
      <w:sz w:val="30"/>
      <w:szCs w:val="30"/>
      <w:shd w:val="clear" w:color="auto" w:fill="FFFFFF"/>
      <w:specVanish w:val="0"/>
    </w:rPr>
  </w:style>
  <w:style w:type="paragraph" w:customStyle="1" w:styleId="legclearfixlegp3container1">
    <w:name w:val="legclearfix legp3container1"/>
    <w:basedOn w:val="Normal"/>
    <w:rsid w:val="00BA0DC2"/>
    <w:pPr>
      <w:shd w:val="clear" w:color="auto" w:fill="FFFFFF"/>
      <w:spacing w:after="120" w:line="360" w:lineRule="atLeast"/>
    </w:pPr>
    <w:rPr>
      <w:color w:val="000000"/>
      <w:sz w:val="19"/>
      <w:szCs w:val="19"/>
    </w:rPr>
  </w:style>
  <w:style w:type="character" w:customStyle="1" w:styleId="legdslegrhslegp3text1">
    <w:name w:val="legds legrhs legp3text1"/>
    <w:rsid w:val="00BA0DC2"/>
    <w:rPr>
      <w:vanish w:val="0"/>
      <w:webHidden w:val="0"/>
      <w:sz w:val="30"/>
      <w:szCs w:val="30"/>
      <w:shd w:val="clear" w:color="auto" w:fill="FFFFFF"/>
      <w:specVanish w:val="0"/>
    </w:rPr>
  </w:style>
  <w:style w:type="character" w:styleId="HTMLAcronym">
    <w:name w:val="HTML Acronym"/>
    <w:uiPriority w:val="99"/>
    <w:rsid w:val="00BA0DC2"/>
  </w:style>
  <w:style w:type="table" w:styleId="TableGrid">
    <w:name w:val="Table Grid"/>
    <w:basedOn w:val="TableNormal"/>
    <w:uiPriority w:val="59"/>
    <w:rsid w:val="00BA0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BA0DC2"/>
    <w:rPr>
      <w:sz w:val="24"/>
      <w:szCs w:val="24"/>
      <w:lang w:val="en" w:eastAsia="en-US"/>
    </w:rPr>
  </w:style>
  <w:style w:type="paragraph" w:customStyle="1" w:styleId="CM5">
    <w:name w:val="CM5"/>
    <w:basedOn w:val="Normal"/>
    <w:next w:val="Normal"/>
    <w:rsid w:val="00BA0DC2"/>
    <w:pPr>
      <w:widowControl w:val="0"/>
      <w:autoSpaceDE w:val="0"/>
      <w:autoSpaceDN w:val="0"/>
      <w:adjustRightInd w:val="0"/>
      <w:spacing w:after="240"/>
    </w:pPr>
    <w:rPr>
      <w:rFonts w:ascii="Arial" w:hAnsi="Arial" w:cs="Arial"/>
    </w:rPr>
  </w:style>
  <w:style w:type="paragraph" w:customStyle="1" w:styleId="CM6">
    <w:name w:val="CM6"/>
    <w:basedOn w:val="Default"/>
    <w:next w:val="Default"/>
    <w:rsid w:val="00BA0DC2"/>
    <w:pPr>
      <w:widowControl w:val="0"/>
      <w:spacing w:after="163"/>
    </w:pPr>
    <w:rPr>
      <w:color w:val="auto"/>
    </w:rPr>
  </w:style>
  <w:style w:type="paragraph" w:styleId="Caption">
    <w:name w:val="caption"/>
    <w:basedOn w:val="Normal"/>
    <w:next w:val="Normal"/>
    <w:qFormat/>
    <w:rsid w:val="00BA0DC2"/>
    <w:rPr>
      <w:b/>
      <w:szCs w:val="20"/>
    </w:rPr>
  </w:style>
  <w:style w:type="paragraph" w:customStyle="1" w:styleId="Subhead">
    <w:name w:val="Subhead"/>
    <w:rsid w:val="00BA0DC2"/>
    <w:pPr>
      <w:widowControl w:val="0"/>
      <w:spacing w:before="216"/>
    </w:pPr>
    <w:rPr>
      <w:b/>
      <w:bCs/>
      <w:color w:val="000000"/>
      <w:sz w:val="22"/>
      <w:szCs w:val="22"/>
      <w:lang w:eastAsia="en-US"/>
    </w:rPr>
  </w:style>
  <w:style w:type="paragraph" w:customStyle="1" w:styleId="minorheading">
    <w:name w:val="minor heading"/>
    <w:rsid w:val="00BA0DC2"/>
    <w:pPr>
      <w:widowControl w:val="0"/>
      <w:spacing w:before="216" w:after="216"/>
    </w:pPr>
    <w:rPr>
      <w:b/>
      <w:bCs/>
      <w:color w:val="000000"/>
      <w:lang w:eastAsia="en-US"/>
    </w:rPr>
  </w:style>
  <w:style w:type="paragraph" w:customStyle="1" w:styleId="Char1CharCharCharCharChar">
    <w:name w:val="Char1 Char Char Char Char Char"/>
    <w:basedOn w:val="Normal"/>
    <w:rsid w:val="00BA0DC2"/>
    <w:pPr>
      <w:spacing w:after="160" w:line="240" w:lineRule="exact"/>
    </w:pPr>
    <w:rPr>
      <w:rFonts w:ascii="Verdana" w:hAnsi="Verdana"/>
      <w:sz w:val="20"/>
      <w:szCs w:val="20"/>
      <w:lang w:eastAsia="en-US"/>
    </w:rPr>
  </w:style>
  <w:style w:type="paragraph" w:styleId="EndnoteText">
    <w:name w:val="endnote text"/>
    <w:basedOn w:val="Normal"/>
    <w:link w:val="EndnoteTextChar"/>
    <w:rsid w:val="00BA0DC2"/>
    <w:rPr>
      <w:sz w:val="20"/>
      <w:szCs w:val="20"/>
    </w:rPr>
  </w:style>
  <w:style w:type="character" w:customStyle="1" w:styleId="EndnoteTextChar">
    <w:name w:val="Endnote Text Char"/>
    <w:basedOn w:val="DefaultParagraphFont"/>
    <w:link w:val="EndnoteText"/>
    <w:rsid w:val="00BA0DC2"/>
  </w:style>
  <w:style w:type="character" w:styleId="EndnoteReference">
    <w:name w:val="endnote reference"/>
    <w:rsid w:val="00BA0DC2"/>
    <w:rPr>
      <w:vertAlign w:val="superscript"/>
    </w:rPr>
  </w:style>
  <w:style w:type="paragraph" w:styleId="BodyTextIndent2">
    <w:name w:val="Body Text Indent 2"/>
    <w:basedOn w:val="Normal"/>
    <w:link w:val="BodyTextIndent2Char"/>
    <w:rsid w:val="00BA0DC2"/>
    <w:pPr>
      <w:spacing w:after="120" w:line="480" w:lineRule="auto"/>
      <w:ind w:left="283"/>
    </w:pPr>
  </w:style>
  <w:style w:type="character" w:customStyle="1" w:styleId="BodyTextIndent2Char">
    <w:name w:val="Body Text Indent 2 Char"/>
    <w:link w:val="BodyTextIndent2"/>
    <w:rsid w:val="00BA0DC2"/>
    <w:rPr>
      <w:sz w:val="24"/>
      <w:szCs w:val="24"/>
    </w:rPr>
  </w:style>
  <w:style w:type="paragraph" w:customStyle="1" w:styleId="BulletPoints1">
    <w:name w:val="Bullet Points 1"/>
    <w:basedOn w:val="Normal"/>
    <w:rsid w:val="00BA0DC2"/>
    <w:pPr>
      <w:numPr>
        <w:numId w:val="1"/>
      </w:numPr>
      <w:spacing w:after="240" w:line="240" w:lineRule="atLeast"/>
      <w:ind w:left="1210" w:right="850"/>
      <w:jc w:val="both"/>
    </w:pPr>
    <w:rPr>
      <w:rFonts w:ascii="Arial" w:hAnsi="Arial"/>
      <w:sz w:val="28"/>
      <w:szCs w:val="20"/>
      <w:lang w:eastAsia="en-US"/>
    </w:rPr>
  </w:style>
  <w:style w:type="character" w:customStyle="1" w:styleId="DocumentMapChar">
    <w:name w:val="Document Map Char"/>
    <w:link w:val="DocumentMap"/>
    <w:semiHidden/>
    <w:rsid w:val="00BA0DC2"/>
    <w:rPr>
      <w:rFonts w:ascii="Tahoma" w:hAnsi="Tahoma" w:cs="Tahoma"/>
      <w:shd w:val="clear" w:color="auto" w:fill="000080"/>
    </w:rPr>
  </w:style>
  <w:style w:type="paragraph" w:styleId="Revision">
    <w:name w:val="Revision"/>
    <w:hidden/>
    <w:uiPriority w:val="99"/>
    <w:semiHidden/>
    <w:rsid w:val="00BA0DC2"/>
    <w:rPr>
      <w:sz w:val="24"/>
      <w:szCs w:val="24"/>
    </w:rPr>
  </w:style>
  <w:style w:type="character" w:styleId="Strong">
    <w:name w:val="Strong"/>
    <w:uiPriority w:val="22"/>
    <w:qFormat/>
    <w:rsid w:val="00BA0DC2"/>
    <w:rPr>
      <w:b/>
      <w:bCs/>
    </w:rPr>
  </w:style>
  <w:style w:type="character" w:styleId="HTMLCite">
    <w:name w:val="HTML Cite"/>
    <w:rsid w:val="00BA0DC2"/>
    <w:rPr>
      <w:i w:val="0"/>
      <w:iCs w:val="0"/>
      <w:color w:val="009933"/>
    </w:rPr>
  </w:style>
  <w:style w:type="paragraph" w:styleId="Title">
    <w:name w:val="Title"/>
    <w:basedOn w:val="Normal"/>
    <w:link w:val="TitleChar"/>
    <w:qFormat/>
    <w:rsid w:val="00753F40"/>
    <w:pPr>
      <w:spacing w:after="600"/>
      <w:jc w:val="center"/>
    </w:pPr>
    <w:rPr>
      <w:kern w:val="28"/>
      <w:sz w:val="32"/>
      <w:szCs w:val="20"/>
      <w:lang w:eastAsia="en-US"/>
    </w:rPr>
  </w:style>
  <w:style w:type="character" w:customStyle="1" w:styleId="TitleChar">
    <w:name w:val="Title Char"/>
    <w:basedOn w:val="DefaultParagraphFont"/>
    <w:link w:val="Title"/>
    <w:rsid w:val="00753F40"/>
    <w:rPr>
      <w:kern w:val="28"/>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83227">
      <w:bodyDiv w:val="1"/>
      <w:marLeft w:val="0"/>
      <w:marRight w:val="0"/>
      <w:marTop w:val="0"/>
      <w:marBottom w:val="0"/>
      <w:divBdr>
        <w:top w:val="none" w:sz="0" w:space="0" w:color="auto"/>
        <w:left w:val="none" w:sz="0" w:space="0" w:color="auto"/>
        <w:bottom w:val="none" w:sz="0" w:space="0" w:color="auto"/>
        <w:right w:val="none" w:sz="0" w:space="0" w:color="auto"/>
      </w:divBdr>
    </w:div>
    <w:div w:id="700059519">
      <w:bodyDiv w:val="1"/>
      <w:marLeft w:val="0"/>
      <w:marRight w:val="0"/>
      <w:marTop w:val="0"/>
      <w:marBottom w:val="0"/>
      <w:divBdr>
        <w:top w:val="none" w:sz="0" w:space="0" w:color="auto"/>
        <w:left w:val="none" w:sz="0" w:space="0" w:color="auto"/>
        <w:bottom w:val="none" w:sz="0" w:space="0" w:color="auto"/>
        <w:right w:val="none" w:sz="0" w:space="0" w:color="auto"/>
      </w:divBdr>
    </w:div>
    <w:div w:id="839348629">
      <w:bodyDiv w:val="1"/>
      <w:marLeft w:val="0"/>
      <w:marRight w:val="0"/>
      <w:marTop w:val="0"/>
      <w:marBottom w:val="0"/>
      <w:divBdr>
        <w:top w:val="none" w:sz="0" w:space="0" w:color="auto"/>
        <w:left w:val="none" w:sz="0" w:space="0" w:color="auto"/>
        <w:bottom w:val="none" w:sz="0" w:space="0" w:color="auto"/>
        <w:right w:val="none" w:sz="0" w:space="0" w:color="auto"/>
      </w:divBdr>
    </w:div>
    <w:div w:id="1098405427">
      <w:bodyDiv w:val="1"/>
      <w:marLeft w:val="0"/>
      <w:marRight w:val="0"/>
      <w:marTop w:val="0"/>
      <w:marBottom w:val="0"/>
      <w:divBdr>
        <w:top w:val="none" w:sz="0" w:space="0" w:color="auto"/>
        <w:left w:val="none" w:sz="0" w:space="0" w:color="auto"/>
        <w:bottom w:val="none" w:sz="0" w:space="0" w:color="auto"/>
        <w:right w:val="none" w:sz="0" w:space="0" w:color="auto"/>
      </w:divBdr>
    </w:div>
    <w:div w:id="169287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18" Type="http://schemas.openxmlformats.org/officeDocument/2006/relationships/hyperlink" Target="http://www.justice-ni.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8" Type="http://schemas.openxmlformats.org/officeDocument/2006/relationships/hyperlink" Target="http://www.legislation.gov.uk/nisr/2016/397/pdfs/nisr_20160397_en.pdf" TargetMode="External"/><Relationship Id="rId3" Type="http://schemas.openxmlformats.org/officeDocument/2006/relationships/hyperlink" Target="http://www.legislation.gov.uk/nisr/2016/398/contents/made" TargetMode="External"/><Relationship Id="rId7" Type="http://schemas.openxmlformats.org/officeDocument/2006/relationships/hyperlink" Target="http://www.legislation.gov.uk/ukpga/2003/42/contents" TargetMode="External"/><Relationship Id="rId2" Type="http://schemas.openxmlformats.org/officeDocument/2006/relationships/hyperlink" Target="http://www.legislation.gov.uk/nisr/2014/178/contents/made" TargetMode="External"/><Relationship Id="rId1" Type="http://schemas.openxmlformats.org/officeDocument/2006/relationships/hyperlink" Target="http://www.legislation.gov.uk/nisr/2009/313/contents/made" TargetMode="External"/><Relationship Id="rId6" Type="http://schemas.openxmlformats.org/officeDocument/2006/relationships/hyperlink" Target="http://www.legislation.gov.uk/nia/2015/9/contents" TargetMode="External"/><Relationship Id="rId5" Type="http://schemas.openxmlformats.org/officeDocument/2006/relationships/hyperlink" Target="https://www.nao.org.uk/successful-commissioning/general-principles/value-for-money/assessing-value-for-money/" TargetMode="External"/><Relationship Id="rId10" Type="http://schemas.openxmlformats.org/officeDocument/2006/relationships/hyperlink" Target="http://www.legislation.gov.uk/nisr/2015/201/contents/made" TargetMode="External"/><Relationship Id="rId4" Type="http://schemas.openxmlformats.org/officeDocument/2006/relationships/hyperlink" Target="http://www.barofni.com/page/the-bar-of-northern-ireland" TargetMode="External"/><Relationship Id="rId9" Type="http://schemas.openxmlformats.org/officeDocument/2006/relationships/hyperlink" Target="http://www.legislation.gov.uk/nisr/2016/396/pdfs/nisr_20160396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01103-C156-448B-9F50-7C87439B3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4850</Words>
  <Characters>27651</Characters>
  <Application>Microsoft Office Word</Application>
  <DocSecurity>4</DocSecurity>
  <Lines>230</Lines>
  <Paragraphs>64</Paragraphs>
  <ScaleCrop>false</ScaleCrop>
  <HeadingPairs>
    <vt:vector size="2" baseType="variant">
      <vt:variant>
        <vt:lpstr>Title</vt:lpstr>
      </vt:variant>
      <vt:variant>
        <vt:i4>1</vt:i4>
      </vt:variant>
    </vt:vector>
  </HeadingPairs>
  <TitlesOfParts>
    <vt:vector size="1" baseType="lpstr">
      <vt:lpstr>Post-consultation Report on the Reform of Publicly Funded Legal Representation in the Civil and Family Courts, published for consultation in November 2012</vt:lpstr>
    </vt:vector>
  </TitlesOfParts>
  <Company>DOJ</Company>
  <LinksUpToDate>false</LinksUpToDate>
  <CharactersWithSpaces>32437</CharactersWithSpaces>
  <SharedDoc>false</SharedDoc>
  <HLinks>
    <vt:vector size="12" baseType="variant">
      <vt:variant>
        <vt:i4>458837</vt:i4>
      </vt:variant>
      <vt:variant>
        <vt:i4>3</vt:i4>
      </vt:variant>
      <vt:variant>
        <vt:i4>0</vt:i4>
      </vt:variant>
      <vt:variant>
        <vt:i4>5</vt:i4>
      </vt:variant>
      <vt:variant>
        <vt:lpwstr>http://www.dojni.gov.uk/</vt:lpwstr>
      </vt:variant>
      <vt:variant>
        <vt:lpwstr/>
      </vt:variant>
      <vt:variant>
        <vt:i4>7995393</vt:i4>
      </vt:variant>
      <vt:variant>
        <vt:i4>0</vt:i4>
      </vt:variant>
      <vt:variant>
        <vt:i4>0</vt:i4>
      </vt:variant>
      <vt:variant>
        <vt:i4>5</vt:i4>
      </vt:variant>
      <vt:variant>
        <vt:lpwstr>mailto:plsdresponses@dojni.x.gsi.gov.uk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Post-consultation Report on the Reform of Publicly Funded Legal Representation in the Civil and Family Courts, published for consultation in November 2012</dc:title>
  <dc:subject>Civil Legal Aid Reforms</dc:subject>
  <dc:creator>elliottk</dc:creator>
  <cp:keywords/>
  <dc:description/>
  <cp:lastModifiedBy>Jean Sansome</cp:lastModifiedBy>
  <cp:revision>2</cp:revision>
  <cp:lastPrinted>2017-09-28T16:25:00Z</cp:lastPrinted>
  <dcterms:created xsi:type="dcterms:W3CDTF">2019-01-21T16:34:00Z</dcterms:created>
  <dcterms:modified xsi:type="dcterms:W3CDTF">2019-01-21T16:34:00Z</dcterms:modified>
</cp:coreProperties>
</file>